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47</w:t>
      </w:r>
      <w:r w:rsidDel="00000000" w:rsidR="00000000" w:rsidRPr="00000000">
        <w:rPr>
          <w:rtl w:val="0"/>
        </w:rPr>
      </w:r>
    </w:p>
    <w:p w:rsidR="00000000" w:rsidDel="00000000" w:rsidP="00000000" w:rsidRDefault="00000000" w:rsidRPr="00000000" w14:paraId="00000004">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6">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w:t>
            </w:r>
          </w:p>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8">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Punto de la Agenda: </w:t>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(Perú)</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w:t>
            </w:r>
            <w:r w:rsidDel="00000000" w:rsidR="00000000" w:rsidRPr="00000000">
              <w:rPr>
                <w:rFonts w:ascii="Times New Roman" w:cs="Times New Roman" w:eastAsia="Times New Roman" w:hAnsi="Times New Roman"/>
                <w:rtl w:val="0"/>
              </w:rPr>
              <w:t xml:space="preserve">CAT</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r>
    </w:tbl>
    <w:p w:rsidR="00000000" w:rsidDel="00000000" w:rsidP="00000000" w:rsidRDefault="00000000" w:rsidRPr="00000000" w14:paraId="0000000D">
      <w:pPr>
        <w:tabs>
          <w:tab w:val="left" w:pos="5670"/>
          <w:tab w:val="left" w:pos="8445"/>
        </w:tabs>
        <w:jc w:val="both"/>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center"/>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Vigésimo Sexta Campaña Científica del Perú a la Antártida - ANTAR XXVI</w:t>
      </w:r>
    </w:p>
    <w:p w:rsidR="00000000" w:rsidDel="00000000" w:rsidP="00000000" w:rsidRDefault="00000000" w:rsidRPr="00000000" w14:paraId="0000001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36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Vigésimo Sexta Campaña Científica del Perú a la Antártida - ANTAR XXVI</w:t>
      </w:r>
    </w:p>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Vigésimo Sexta Expedición Científica del Perú a la Antártida – ANTAR XXVI se llevó a cabo del 07 de diciembre de 2018 al 15 de marzo de 2019, con una duración total de 99 días. Los proyectos científicos y actividades complementarias se ejecutaron de manera paralela en 02 plataformas: la Estación Científica Antártica “Machu Picchu” y el Buque Oceanográfico con Capacidad Polar B.A.P. “Carrasco”. </w:t>
      </w:r>
    </w:p>
    <w:p w:rsidR="00000000" w:rsidDel="00000000" w:rsidP="00000000" w:rsidRDefault="00000000" w:rsidRPr="00000000" w14:paraId="0000001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Esta expedición tuvo por objetivos mantener el aporte científico del Perú al conocimiento de la Antártida; completar los estudios técnicos de base para la formulación de proyectos orientados al mejoramiento de la infraestructura antártica nacional; fortalecer la cooperación con otros Estados Parte del Tratado Antártico; y contribuir a la difusión del valor de la Antártida como Reserva Natural para la Paz y la Ciencia.</w:t>
      </w:r>
    </w:p>
    <w:p w:rsidR="00000000" w:rsidDel="00000000" w:rsidP="00000000" w:rsidRDefault="00000000" w:rsidRPr="00000000" w14:paraId="0000001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 el ámbito científico participaron 158</w:t>
      </w:r>
      <w:r w:rsidDel="00000000" w:rsidR="00000000" w:rsidRPr="00000000">
        <w:rPr>
          <w:rFonts w:ascii="Times New Roman" w:cs="Times New Roman" w:eastAsia="Times New Roman" w:hAnsi="Times New Roman"/>
          <w:color w:val="ff0000"/>
          <w:rtl w:val="0"/>
        </w:rPr>
        <w:t xml:space="preserve"> </w:t>
      </w:r>
      <w:r w:rsidDel="00000000" w:rsidR="00000000" w:rsidRPr="00000000">
        <w:rPr>
          <w:rFonts w:ascii="Times New Roman" w:cs="Times New Roman" w:eastAsia="Times New Roman" w:hAnsi="Times New Roman"/>
          <w:rtl w:val="0"/>
        </w:rPr>
        <w:t xml:space="preserve">expedicionarios, 70 de ellos científicos pertenecientes a 13 instituciones nacionales y 9 investigadores provenientes de Argentina, Colombia, Portugal y Chile. Se realizaron un total de 22 proyectos de investigación en materia de oceanografía, biodiversidad marina, glaciología, hidrogeología, circulación marina, clima espacial, isotopía y metagenómica, calidad ambiental, meteorología y geodesia, como parte del programa científico diseñado con la participación de organismos públicos, instituciones científicas nacionales y universidades.  </w:t>
      </w:r>
    </w:p>
    <w:p w:rsidR="00000000" w:rsidDel="00000000" w:rsidP="00000000" w:rsidRDefault="00000000" w:rsidRPr="00000000" w14:paraId="0000002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Las investigaciones se desarrollaron en la Isla Rey Jorge, donde se ubica la Estación Científica Antártica Machu Picchu (ECAMP), así como en el estrecho de Bransfield, Joinville e Isla Elefante (zona 48.1) a bordo del buque con capacidad polar BAP Carrasco, plataforma científica y logística peruana.</w:t>
      </w:r>
    </w:p>
    <w:p w:rsidR="00000000" w:rsidDel="00000000" w:rsidP="00000000" w:rsidRDefault="00000000" w:rsidRPr="00000000" w14:paraId="0000002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Entre las investigaciones a destacar (ver Cuadro 01), se mencionan las efectuadas en el ámbito marino para estudiar los efectos del cambio climático sobre el océano austral y su influencia sobre la distribución y abundancia del krill (</w:t>
      </w:r>
      <w:r w:rsidDel="00000000" w:rsidR="00000000" w:rsidRPr="00000000">
        <w:rPr>
          <w:rFonts w:ascii="Times New Roman" w:cs="Times New Roman" w:eastAsia="Times New Roman" w:hAnsi="Times New Roman"/>
          <w:i w:val="1"/>
          <w:rtl w:val="0"/>
        </w:rPr>
        <w:t xml:space="preserve">Euphasia superba</w:t>
      </w:r>
      <w:r w:rsidDel="00000000" w:rsidR="00000000" w:rsidRPr="00000000">
        <w:rPr>
          <w:rFonts w:ascii="Times New Roman" w:cs="Times New Roman" w:eastAsia="Times New Roman" w:hAnsi="Times New Roman"/>
          <w:rtl w:val="0"/>
        </w:rPr>
        <w:t xml:space="preserve">), el estudio de las comunidades biológicas asociadas a montes submarinos para e</w:t>
      </w:r>
      <w:r w:rsidDel="00000000" w:rsidR="00000000" w:rsidRPr="00000000">
        <w:rPr>
          <w:rFonts w:ascii="Times New Roman" w:cs="Times New Roman" w:eastAsia="Times New Roman" w:hAnsi="Times New Roman"/>
          <w:color w:val="000000"/>
          <w:rtl w:val="0"/>
        </w:rPr>
        <w:t xml:space="preserve">valuar la influencia del cambio climático y la acidificación de los océanos sobre comunidades de seres extremófilos; y </w:t>
      </w:r>
      <w:r w:rsidDel="00000000" w:rsidR="00000000" w:rsidRPr="00000000">
        <w:rPr>
          <w:rFonts w:ascii="Times New Roman" w:cs="Times New Roman" w:eastAsia="Times New Roman" w:hAnsi="Times New Roman"/>
          <w:rtl w:val="0"/>
        </w:rPr>
        <w:t xml:space="preserve">de medio ambiente con especial énfasis en microplásticos; mientras que, en el ámbito terrestre destacan las investigaciones en materia de glaciología que buscan conocer la influencia del cambio climático en glaciares antárticos y su relación con los nevados tropicales de los Andes peruanos, así como estudios en caracterización del permafrost y de estimación de flujo de partículas de alta energía.</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grupo de investigadores estuvo conformado por personal procedente del Instituto del Mar del Perú, el Instituto Geológico, Minero y Metalúrgico, el Instituto Geográfico Nacional, la Agencia Espacial del Perú, la Autoridad Nacional del Agua, el Servicio de Meteorología e Hidrología del Perú, la Dirección de Hidrografía y Navegación, la Dirección de Meteorología de la Fuerza Aérea, la Universidad Científica del Sur, la Pontificia Universidad Católica del Perú, la Universidad Católica Santa María de Arequipa, la Universidad Católica del Norte de Chile, la Universidad Andrés Bello de Chile, el Instituto de Investigaciones Marinas y Costeras "José Benito Vives de Andréis" de Colombia, la Universidad Nacional de Piura, el Instituto Nacional de Investigación en Glaciares y Ecosistemas de Montaña, la Universidad Femenina del Sagrado Corazón, el Instituto Antártico Argentino y el Programa Polar Portugués.</w:t>
      </w:r>
    </w:p>
    <w:p w:rsidR="00000000" w:rsidDel="00000000" w:rsidP="00000000" w:rsidRDefault="00000000" w:rsidRPr="00000000" w14:paraId="00000023">
      <w:pPr>
        <w:jc w:val="both"/>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t xml:space="preserve">Cabe resaltar el agradecimiento hacia el Programa Antártico Brasileño por el apoyo logístico brindado por el personal de la Estación Ferraz durante el desarrollo de la Campaña ANTAR XXVI.</w:t>
      </w:r>
    </w:p>
    <w:p w:rsidR="00000000" w:rsidDel="00000000" w:rsidP="00000000" w:rsidRDefault="00000000" w:rsidRPr="00000000" w14:paraId="00000024">
      <w:pPr>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Cuadro 01: Listado de Proyectos desarrollados durante la ANTAR XXVI</w:t>
      </w:r>
    </w:p>
    <w:tbl>
      <w:tblPr>
        <w:tblStyle w:val="Table2"/>
        <w:tblW w:w="8931.0" w:type="dxa"/>
        <w:jc w:val="left"/>
        <w:tblInd w:w="351.0" w:type="dxa"/>
        <w:tblLayout w:type="fixed"/>
        <w:tblLook w:val="0400"/>
      </w:tblPr>
      <w:tblGrid>
        <w:gridCol w:w="1844"/>
        <w:gridCol w:w="7087"/>
        <w:tblGridChange w:id="0">
          <w:tblGrid>
            <w:gridCol w:w="1844"/>
            <w:gridCol w:w="7087"/>
          </w:tblGrid>
        </w:tblGridChange>
      </w:tblGrid>
      <w:tr>
        <w:trPr>
          <w:trHeight w:val="300" w:hRule="atLeast"/>
        </w:trPr>
        <w:tc>
          <w:tcPr>
            <w:tcBorders>
              <w:top w:color="000000" w:space="0" w:sz="4" w:val="single"/>
              <w:left w:color="000000" w:space="0" w:sz="4" w:val="single"/>
              <w:bottom w:color="000000" w:space="0" w:sz="4" w:val="single"/>
              <w:right w:color="000000" w:space="0" w:sz="4" w:val="single"/>
            </w:tcBorders>
            <w:shd w:fill="bdd7ee" w:val="clear"/>
            <w:vAlign w:val="bottom"/>
          </w:tcPr>
          <w:p w:rsidR="00000000" w:rsidDel="00000000" w:rsidP="00000000" w:rsidRDefault="00000000" w:rsidRPr="00000000" w14:paraId="00000025">
            <w:pPr>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Plataforma</w:t>
            </w:r>
          </w:p>
        </w:tc>
        <w:tc>
          <w:tcPr>
            <w:tcBorders>
              <w:top w:color="000000" w:space="0" w:sz="4" w:val="single"/>
              <w:left w:color="000000" w:space="0" w:sz="0" w:val="nil"/>
              <w:bottom w:color="000000" w:space="0" w:sz="4" w:val="single"/>
              <w:right w:color="000000" w:space="0" w:sz="4" w:val="single"/>
            </w:tcBorders>
            <w:shd w:fill="bdd7ee" w:val="clear"/>
            <w:vAlign w:val="center"/>
          </w:tcPr>
          <w:p w:rsidR="00000000" w:rsidDel="00000000" w:rsidP="00000000" w:rsidRDefault="00000000" w:rsidRPr="00000000" w14:paraId="00000026">
            <w:pPr>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Proyecto</w:t>
            </w:r>
          </w:p>
        </w:tc>
      </w:tr>
      <w:tr>
        <w:trPr>
          <w:trHeight w:val="620"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7">
            <w:pPr>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BAP CARRASCO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8">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Evaluación de la contaminación marina (agua) en una determinada zona de la Antártica -Bransfield y Larsen </w:t>
            </w:r>
          </w:p>
        </w:tc>
      </w:tr>
      <w:tr>
        <w:trPr>
          <w:trHeight w:val="3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A">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Detección e Integración de fiabilidad en circuitos integrados avanzados respecto a Radiaciones Naturales </w:t>
            </w:r>
          </w:p>
        </w:tc>
      </w:tr>
      <w:tr>
        <w:trPr>
          <w:trHeight w:val="6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C">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Estudio de la circulación oceánica alrededor de las islas Shetland del Sur e Isla Elefante y su conexión frente a la costa peruana y el fenómeno El Niño y La Niña </w:t>
            </w:r>
          </w:p>
        </w:tc>
      </w:tr>
      <w:tr>
        <w:trPr>
          <w:trHeight w:val="6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E">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Caracterización radiológica de los sedimentos extraídos de las profundidades del mar en el Estrecho de Bransfield y de muestras ambientales en la ECAMP</w:t>
            </w:r>
          </w:p>
        </w:tc>
      </w:tr>
      <w:tr>
        <w:trPr>
          <w:trHeight w:val="3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0">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Análisis metagenómico de la microbiota del krill antártico y su relación con el cambio climático </w:t>
            </w:r>
          </w:p>
        </w:tc>
      </w:tr>
      <w:tr>
        <w:trPr>
          <w:trHeight w:val="6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2">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Caracterización de microplásticos identificados en recursos hidrobiológicos de la Antártida y ensayos de biodegradación por consorcios nativos</w:t>
            </w:r>
          </w:p>
        </w:tc>
      </w:tr>
      <w:tr>
        <w:trPr>
          <w:trHeight w:val="56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4">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Estudio Integrado del Ecosistema en el Estrecho de Bransfield, Join Ville y alrededores de la Isla Elefante </w:t>
            </w:r>
          </w:p>
        </w:tc>
      </w:tr>
      <w:tr>
        <w:trPr>
          <w:trHeight w:val="62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6">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Comunidades Bentónicas y Geoquímica del Sedimento: Diversidad, Ecología y Aplicaciones Isla Rey Jorge (Bahía Almirantazgo) y Estrecho de Bransfield </w:t>
            </w:r>
          </w:p>
        </w:tc>
      </w:tr>
      <w:tr>
        <w:trPr>
          <w:trHeight w:val="3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8">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Monitoreo de larvas de Eufausiáceos</w:t>
            </w:r>
          </w:p>
        </w:tc>
      </w:tr>
      <w:tr>
        <w:trPr>
          <w:trHeight w:val="3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A">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Estudio de las comunidades biológicas asociadas a los montes submarinos ubicados en el Estrecho de Bransfield</w:t>
            </w:r>
          </w:p>
        </w:tc>
      </w:tr>
      <w:tr>
        <w:trPr>
          <w:trHeight w:val="640" w:hRule="atLeast"/>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B">
            <w:pPr>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ECAMP</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C">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Aporte social, económico y ambiental en la conservación y pérdida de la BIOdiversidad marina por el retroceso GLACIAR en la Península ANTártica</w:t>
            </w:r>
          </w:p>
        </w:tc>
      </w:tr>
      <w:tr>
        <w:trPr>
          <w:trHeight w:val="42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E">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Comparación de la dinámica de la evolución glaciar en la Antártida y Glaciares Tropicales del Perú</w:t>
            </w:r>
          </w:p>
        </w:tc>
      </w:tr>
      <w:tr>
        <w:trPr>
          <w:trHeight w:val="6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0">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Factores ambientales que rigen sobre la distribución del macrobentos en bahía Almirantazgo y ensenada Mackellar </w:t>
            </w:r>
          </w:p>
        </w:tc>
      </w:tr>
      <w:tr>
        <w:trPr>
          <w:trHeight w:val="3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2">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Estudio de microclimas existentes en la bahía Almirantazgo</w:t>
            </w:r>
          </w:p>
        </w:tc>
      </w:tr>
      <w:tr>
        <w:trPr>
          <w:trHeight w:val="124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Equilibrio nutricional en la Antártida: Impacto de la Adecuación de macronutrientes en la dieta de los expedicionarios ANTAR XXVI y evaluación de hierro y polifenoles en macroalgas de la Bahía Almirantazgo en la Isla Rey Jorge</w:t>
            </w:r>
          </w:p>
        </w:tc>
      </w:tr>
      <w:tr>
        <w:trPr>
          <w:trHeight w:val="6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6">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Generación de información geoespacial actualizada del área geográfica que ocupa la ECAMP en la Antártida</w:t>
            </w:r>
          </w:p>
        </w:tc>
      </w:tr>
      <w:tr>
        <w:trPr>
          <w:trHeight w:val="3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8">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Estudio del Medio Ambiente en Bahía Almirantazgo y Estrecho de Bransfiled </w:t>
            </w:r>
          </w:p>
        </w:tc>
      </w:tr>
      <w:tr>
        <w:trPr>
          <w:trHeight w:val="58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A">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Estudio de la circulación marina para determinar  trayectoria de posibles elementos contaminantes en La Bahía de Almirantazgo, mediante aproximación lagrangiana</w:t>
            </w:r>
          </w:p>
        </w:tc>
      </w:tr>
      <w:tr>
        <w:trPr>
          <w:trHeight w:val="3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C">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Investigaciones de permafrost en los alrededores de la Estación Machu Picchu</w:t>
            </w:r>
          </w:p>
        </w:tc>
      </w:tr>
      <w:tr>
        <w:trPr>
          <w:trHeight w:val="56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E">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Geomorfología y evolución glaciar en Punta Crepin (Isla Rey Jorge - Antártida: Su impacto frente al cambio climático y sus vinculaciones con la Criósfera Andina</w:t>
            </w:r>
          </w:p>
        </w:tc>
      </w:tr>
      <w:tr>
        <w:trPr>
          <w:trHeight w:val="34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0">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Desarrollo de Estación de Clima Espacial en la ECAMP</w:t>
            </w:r>
          </w:p>
        </w:tc>
      </w:tr>
      <w:tr>
        <w:trPr>
          <w:trHeight w:val="300" w:hRule="atLeast"/>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2">
            <w:pP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Medidas radiométricas en zonas invariantes en la Antártida</w:t>
            </w:r>
          </w:p>
        </w:tc>
      </w:tr>
    </w:tbl>
    <w:p w:rsidR="00000000" w:rsidDel="00000000" w:rsidP="00000000" w:rsidRDefault="00000000" w:rsidRPr="00000000" w14:paraId="0000005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jc w:val="center"/>
        <w:rPr>
          <w:rFonts w:ascii="Times New Roman" w:cs="Times New Roman" w:eastAsia="Times New Roman" w:hAnsi="Times New Roman"/>
        </w:rPr>
      </w:pPr>
      <w:r w:rsidDel="00000000" w:rsidR="00000000" w:rsidRPr="00000000">
        <w:rPr>
          <w:rtl w:val="0"/>
        </w:rPr>
      </w:r>
    </w:p>
    <w:sectPr>
      <w:headerReference r:id="rId7" w:type="default"/>
      <w:footerReference r:id="rId8" w:type="default"/>
      <w:pgSz w:h="16838" w:w="11906"/>
      <w:pgMar w:bottom="1404" w:top="3652" w:left="1701" w:right="1134" w:header="283" w:footer="73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Fonts w:ascii="Arial Narrow" w:cs="Arial Narrow" w:eastAsia="Arial Narrow" w:hAnsi="Arial Narrow"/>
        <w:sz w:val="24"/>
        <w:szCs w:val="24"/>
      </w:rPr>
      <w:drawing>
        <wp:inline distB="114300" distT="114300" distL="114300" distR="114300">
          <wp:extent cx="4430078" cy="1025142"/>
          <wp:effectExtent b="0" l="0" r="0" t="0"/>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ATSTitle" w:customStyle="1">
    <w:name w:val="ATS Title"/>
    <w:basedOn w:val="Normal"/>
    <w:rsid w:val="00B216D2"/>
    <w:pPr>
      <w:spacing w:after="360" w:before="360" w:line="240" w:lineRule="auto"/>
      <w:contextualSpacing w:val="1"/>
      <w:jc w:val="center"/>
    </w:pPr>
    <w:rPr>
      <w:rFonts w:ascii="Arial" w:cs="Times New Roman" w:eastAsia="Times New Roman" w:hAnsi="Arial"/>
      <w:b w:val="1"/>
      <w:sz w:val="48"/>
      <w:szCs w:val="24"/>
      <w:lang w:eastAsia="en-US" w:val="en-US"/>
    </w:rPr>
  </w:style>
  <w:style w:type="paragraph" w:styleId="Encabezado">
    <w:name w:val="header"/>
    <w:basedOn w:val="Normal"/>
    <w:link w:val="EncabezadoCar"/>
    <w:uiPriority w:val="99"/>
    <w:unhideWhenUsed w:val="1"/>
    <w:rsid w:val="00B216D2"/>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B216D2"/>
  </w:style>
  <w:style w:type="paragraph" w:styleId="Piedepgina">
    <w:name w:val="footer"/>
    <w:basedOn w:val="Normal"/>
    <w:link w:val="PiedepginaCar"/>
    <w:uiPriority w:val="99"/>
    <w:unhideWhenUsed w:val="1"/>
    <w:rsid w:val="00B216D2"/>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B216D2"/>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PreXS3o9iMMP0cRjsyA4tbrJOA==">AMUW2mUpChzx1OuKaWUwuMdi8IRpDPsbQNY9pUGqjeI8bHMiwWIaevNQVpog4c2CHctiBTvuYtSyFlhHuufNgjsBLwOY56TtqhV6l3h3FUtQNnEYY5RGSC79zSC1j9LW1hxm4M+FpqrtVGf4hjz7JumKY3WSHtQl6A==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2019-09-06T20:13:00Z</dcterms:created>
  <dc:creator>Cinthya Elizabeth Bello Chirinos</dc:creator>
</cp:coreProperties>
</file>