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spacing w:after="20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200" w:before="0" w:line="30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DI 19</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20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rPr>
          <w:rtl w:val="0"/>
        </w:rPr>
      </w:r>
    </w:p>
    <w:tbl>
      <w:tblPr>
        <w:tblStyle w:val="Table1"/>
        <w:tblW w:w="4236.0" w:type="dxa"/>
        <w:jc w:val="left"/>
        <w:tblInd w:w="4981.0" w:type="dxa"/>
        <w:tblLayout w:type="fixed"/>
        <w:tblLook w:val="0000"/>
      </w:tblPr>
      <w:tblGrid>
        <w:gridCol w:w="2880"/>
        <w:gridCol w:w="1356"/>
        <w:tblGridChange w:id="0">
          <w:tblGrid>
            <w:gridCol w:w="2880"/>
            <w:gridCol w:w="1356"/>
          </w:tblGrid>
        </w:tblGridChange>
      </w:tblGrid>
      <w:tr>
        <w:tc>
          <w:tcPr>
            <w:tcBorders>
              <w:top w:color="ffffff" w:space="0" w:sz="4" w:val="single"/>
              <w:left w:color="ffffff" w:space="0" w:sz="4" w:val="single"/>
              <w:bottom w:color="ffffff" w:space="0" w:sz="4" w:val="single"/>
            </w:tcBorders>
          </w:tcPr>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Tipo de Documento:</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País:</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Tipo de Sección: </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Punto de la Agenda: </w:t>
            </w:r>
          </w:p>
        </w:tc>
        <w:tc>
          <w:tcPr>
            <w:tcBorders>
              <w:top w:color="ffffff" w:space="0" w:sz="4" w:val="single"/>
              <w:left w:color="ffffff" w:space="0" w:sz="4" w:val="single"/>
              <w:bottom w:color="ffffff" w:space="0" w:sz="4" w:val="single"/>
              <w:right w:color="ffffff" w:space="0" w:sz="4" w:val="single"/>
            </w:tcBorders>
          </w:tcPr>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DI    )</w:t>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sz w:val="24"/>
                <w:szCs w:val="24"/>
                <w:rtl w:val="0"/>
              </w:rPr>
              <w:t xml:space="preserve">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rgentina )</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(CACAT)</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tc>
      </w:tr>
    </w:tbl>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20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20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20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bookmarkStart w:colFirst="0" w:colLast="0" w:name="bookmark=id.gjdgxs" w:id="0"/>
    <w:bookmarkEnd w:id="0"/>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360" w:before="360" w:line="30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Sitios y Monumentos Históricos. Nuevas designaciones y nuevas herramientas para la designación y difusión, en el ámbito del Tratado Antártico </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280" w:before="280" w:line="30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360" w:before="360" w:line="300" w:lineRule="auto"/>
        <w:ind w:left="0" w:right="0" w:firstLine="0"/>
        <w:jc w:val="both"/>
        <w:rPr>
          <w:rFonts w:ascii="Times New Roman" w:cs="Times New Roman" w:eastAsia="Times New Roman" w:hAnsi="Times New Roman"/>
          <w:b w:val="1"/>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Sitios y Monumentos Históricos. Nuevas designaciones y nuevas herramientas para la designación y difusión, en el ámbito del Tratado Antártico</w:t>
      </w:r>
    </w:p>
    <w:p w:rsidR="00000000" w:rsidDel="00000000" w:rsidP="00000000" w:rsidRDefault="00000000" w:rsidRPr="00000000" w14:paraId="0000001C">
      <w:pPr>
        <w:spacing w:line="30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Introducción</w:t>
      </w:r>
    </w:p>
    <w:p w:rsidR="00000000" w:rsidDel="00000000" w:rsidP="00000000" w:rsidRDefault="00000000" w:rsidRPr="00000000" w14:paraId="0000001D">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Entre los años 2016 y 2019, el Comité de Protección Ambiental trabajó en varios aspectos vinculados a los Sitios y Monumentos Históricos, poniendo el foco en la conservación del patrimonio histórico antártico.</w:t>
      </w:r>
    </w:p>
    <w:p w:rsidR="00000000" w:rsidDel="00000000" w:rsidP="00000000" w:rsidRDefault="00000000" w:rsidRPr="00000000" w14:paraId="0000001E">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Así, entre los años 2016 y 2018, sus miembros trabajaron intersesionalmente en la elaboración de nuevas orientaciones que permitiesen contar con una orientación mayor a la hora de que las partes realicen la evaluación previa del mérito de un sitio u objeto como posible SMH, así como la evaluación de las mejores herramientas de gestión y conservación para el mismo.</w:t>
      </w:r>
    </w:p>
    <w:p w:rsidR="00000000" w:rsidDel="00000000" w:rsidP="00000000" w:rsidRDefault="00000000" w:rsidRPr="00000000" w14:paraId="0000001F">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Este trabajo llevó al Comité y a la Reunión Consultiva del Tratado Antártico a la adopción de la Resolución 2 (2018) “Directrices para la evaluación y gestión del patrimonio antártico”.  </w:t>
      </w:r>
    </w:p>
    <w:p w:rsidR="00000000" w:rsidDel="00000000" w:rsidP="00000000" w:rsidRDefault="00000000" w:rsidRPr="00000000" w14:paraId="00000020">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Esta adopción supuso el levantamiento de la moratoria establecida en 2015 por el Tratado Antártico para la designación de nuevos SMHs, hasta tanto se contara con dicha herramienta. </w:t>
      </w:r>
    </w:p>
    <w:p w:rsidR="00000000" w:rsidDel="00000000" w:rsidP="00000000" w:rsidRDefault="00000000" w:rsidRPr="00000000" w14:paraId="00000021">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 esta razón, Argentina presentó en al XXII CPA, en 2019 la propuesta de designación de un nuevo SMH en la isla Marambio, en conjunto con Noruega, Reino Unido y Suecia (WP 25). </w:t>
      </w:r>
    </w:p>
    <w:p w:rsidR="00000000" w:rsidDel="00000000" w:rsidP="00000000" w:rsidRDefault="00000000" w:rsidRPr="00000000" w14:paraId="00000022">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 su parte, Argentina también propuso la modificación del formato del listado de Sitios y Monumentos Históricos, con el objeto de incorporar nuevos campos de información y contar así con mayor información acerca del sitio en sí y de sus herramientas de conservación. Una de las ventajas de esta modificación es brindar más información que contribuya a la difusión de la historia antártica.  </w:t>
      </w:r>
    </w:p>
    <w:p w:rsidR="00000000" w:rsidDel="00000000" w:rsidP="00000000" w:rsidRDefault="00000000" w:rsidRPr="00000000" w14:paraId="00000023">
      <w:pPr>
        <w:spacing w:line="30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Las posibilidades que ofrecen las Directrices para la evaluación y gestión del patrimonio antártico para los APAL</w:t>
      </w:r>
    </w:p>
    <w:p w:rsidR="00000000" w:rsidDel="00000000" w:rsidP="00000000" w:rsidRDefault="00000000" w:rsidRPr="00000000" w14:paraId="00000024">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Desde el inicio de los debates, Argentina participó activamente del desarrollo de las “Directrices para la evaluación y gestión del patrimonio antártico”. Es importante destacar que nuestro país, a la vez de trabajar proactivamente en el desarrollo, también mantuvo su posición de evitar que, en el objetivo general de las Directrices fueran considerados con valor patrimonial sólo sitios vinculados a eventos que fueran considerados de importancia “global”, siendo esto último un criterio subjetivo que podría disminuir la posibilidad de designación de sitios de importancia para la cultura local o regional, menos difundidos. Finalmente, se acordó que la visión general de las directrices  sería “</w:t>
      </w:r>
      <w:r w:rsidDel="00000000" w:rsidR="00000000" w:rsidRPr="00000000">
        <w:rPr>
          <w:rFonts w:ascii="Times New Roman" w:cs="Times New Roman" w:eastAsia="Times New Roman" w:hAnsi="Times New Roman"/>
          <w:i w:val="1"/>
          <w:sz w:val="24"/>
          <w:szCs w:val="24"/>
          <w:rtl w:val="0"/>
        </w:rPr>
        <w:t xml:space="preserve">Reconocer, gestionar, conservar y promover el patrimonio antártico para el beneficio de las generaciones presentes y futuras”.</w:t>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6">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Argentina considera así que estas Directrices pueden constituir un aliciente para la evaluación y propuesta de designación de nuevos SMHs, que cumplan  con los criterios allí contenidos y a su vez, faciliten la difusión de la historia de la región en la Antártida. </w:t>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spacing w:line="30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Nuevos SMHs designados en 2019</w:t>
      </w:r>
    </w:p>
    <w:p w:rsidR="00000000" w:rsidDel="00000000" w:rsidP="00000000" w:rsidRDefault="00000000" w:rsidRPr="00000000" w14:paraId="00000029">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Durante el XXII CPA, Argentina, contando con la coautoría de Noruega, Suecia y el Reino Unido, presentó el Documento de Trabajo 25,  “Propuesta para la designación de un nuevo Sitio y Monumento Histórico ‘Mojón C.A. Larsen perteneciente a varias expediciones’”. </w:t>
      </w:r>
    </w:p>
    <w:p w:rsidR="00000000" w:rsidDel="00000000" w:rsidP="00000000" w:rsidRDefault="00000000" w:rsidRPr="00000000" w14:paraId="0000002A">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La relevancia histórica del sitio, fue descripta en la sección “Descripción del contexto histórico” y se resume de la siguiente manera:</w:t>
      </w:r>
    </w:p>
    <w:p w:rsidR="00000000" w:rsidDel="00000000" w:rsidP="00000000" w:rsidRDefault="00000000" w:rsidRPr="00000000" w14:paraId="0000002B">
      <w:pPr>
        <w:spacing w:after="0" w:line="300" w:lineRule="auto"/>
        <w:ind w:left="284" w:right="284"/>
        <w:jc w:val="both"/>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La expedición ballenera noruega de 1892 a 1983 fue la primera en conducir una exploración por tierra en la isla, en la que se realizaron los primeros descubrimientos de fósiles en la Antártida, con lo que se sentó un precedente para la investigación paleontológica antártica. Durante esta expedición, en 1892, el ballenero y explorador noruego Carl Anton Larsen, comandante del Jason, instaló un mojón con un poste de madera (de 2 m de alto y 5 cm de diámetro) al noreste de la Base argentina Marambio, en el que se talló el nombre del buque y el año de la expedición. </w:t>
      </w:r>
    </w:p>
    <w:p w:rsidR="00000000" w:rsidDel="00000000" w:rsidP="00000000" w:rsidRDefault="00000000" w:rsidRPr="00000000" w14:paraId="0000002C">
      <w:pPr>
        <w:spacing w:after="0" w:line="300" w:lineRule="auto"/>
        <w:ind w:left="284" w:right="284"/>
        <w:jc w:val="both"/>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2D">
      <w:pPr>
        <w:spacing w:after="0" w:line="300" w:lineRule="auto"/>
        <w:ind w:left="284" w:right="284"/>
        <w:jc w:val="both"/>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Diez años después, en octubre de 1903, el alférez argentino José María Sobral y el geólogo sueco Gunnar Andersson, ambos parte de la expedición sueca al polo sur liderada por Otto Nordenskjöld, encontraron el mojón y también tallaron sus nombres y la fecha en el poste de madera. Pocos días después, el 7 de noviembre de 1903, durante la operación de rescate liderada por el comandante argentino Capitán Julián Irízar, a bordo de la Corveta Uruguay, dos oficiales de la marina argentina (José Gorrochátegui, médico, y Felipe Fliess, teniente) encontraron el mojón y, de esta manera, se dieron cuenta de que Sobral y Andersson seguían con vida. Dejaron una nota en la que indicaban a los exploradores la presencia de la operación de rescate argentina.  </w:t>
      </w:r>
    </w:p>
    <w:p w:rsidR="00000000" w:rsidDel="00000000" w:rsidP="00000000" w:rsidRDefault="00000000" w:rsidRPr="00000000" w14:paraId="0000002E">
      <w:pPr>
        <w:spacing w:after="0" w:line="300" w:lineRule="auto"/>
        <w:ind w:left="284" w:right="284"/>
        <w:jc w:val="both"/>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2F">
      <w:pPr>
        <w:spacing w:after="0" w:line="300" w:lineRule="auto"/>
        <w:ind w:left="284" w:right="284"/>
        <w:jc w:val="both"/>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Cuarenta y dos años después, el 30 de agosto de 1945, durante la Operación Tabarin, una expedición británica volvió a descubrir el mojón y lo fotografió. En el informe de la expedición se describen otros objetos encontrados en el lugar, entre ellos una caja de madera, una lata oxidada con arena congelada y un trozo de papel que correspondía a la nota escrita por los dos oficiales de la marina argentina. Se entregó la nota a la antigua "Estación D" británica de la península Trinity, y después fue enviada a Londres. En 1949, se envió al Instituto Scott de Investigación Polar (SPRI), donde se mantiene hasta la actualidad.</w:t>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Tal como se indicó en el DT 25, la propuesta cubría numerosos de los criterios de la Resolución 3 (2009)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Directrices para la designación y protección de Sitios y Monumentos Históricos”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Asimismo, se brindaron detalles de las medidas de gestión, conservación y gestión que se adoptarían una vez designado. </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Comité agradeció a los coautores por su propuesta y aprobó la designación del mojón C. A. Larsen perteneciente a varias expediciones como nuevo SMH, mientras que la Reunión Consultiva lo adoptó como SMH N° 94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Mojón C.A. Larsen, perteneciente a varias expediciones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 través de la Medida 12 (2019). Se adjunta Anexo I con material gráfico del sitio. </w:t>
      </w:r>
    </w:p>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Asimismo, bajo la misma Medida, se adoptó el SMH N° 93,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Endurance, pecio del buque perteneciente al Sir Ernest Shackleton y utilizado por él durante su expedición transantártica de 1914-1915”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propuesta del Reino Unido</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Potencial del nuevo formato del listado de Sitios y Monumentos Históricos para la difusión del patrimonio antártico</w:t>
      </w:r>
    </w:p>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 respuesta a la solicitud formulada en la XXI Reunión del CPA y mediante la presentación del Documento de Trabajo WP 65,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Propuesta de rediseño del formato de la lista de Sitios y Monumentos Históricos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la Argentina presentó al XXII CPA, una propuesta de nuevo formato para la lista de SMH. Así, en base a la lista existente, más otras herramientas normativas  vigentes, como la nota de remisión necesaria para hacer un seguimiento de las propuestas de nuevos SMH que figura en la Resolución 2 (2018), la Argentina identificó una serie de campos adicionales que deben incorporarse en la lista de SMH, entre ellos: Nombre, Tipo, Estado de conservación, Descripción del contexto histórico, Criterios aplicables de conformidad con la Resolución 3 (2009), Herramientas de gestión y Fotos. Con la intención de aumentar la visibilidad, la Argentina también solicitó que la STA actualizara su sitio web para incorporar los nuevos campos y propuso que la información tuviera un formato con un estilo similar al de las Directrices de sitios para visitantes. El Comité aceptó la propuesta de incorporar estos nuevos campos de información a la lista de SMH incluida en el Documento de Trabajo WP 65 mientras que luego la RCTA la adoptó por medio de la Decisión 1 (2019). </w:t>
      </w:r>
    </w:p>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Asimismo, el Comité acordó crear un foro de debates en línea, utilizando la plataforma online del CPA, en el que las Partes a cargo de la gestión puedan intercambiar información con los Miembros respecto de los SMHs, con el propósito de facilitar la elaboración preliminar de un Documento de Trabajo en el que se presente una lista de SMH, actualizada bajo el nuevo formato. La Secretaría acordó asistir al CPA en el establecimiento de ese foro en el sitio web de la STA.</w:t>
      </w:r>
    </w:p>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Nuestro país se encuentra trabajando para dar inicio a este proceso de intercambio en línea. Se espera que éste se inicie próximamente y que las Partes a cargo de la gestión de cada SMHs existente provean, para cada uno, la información referida a los nuevos campos. </w:t>
      </w:r>
    </w:p>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Siendo que al menos tres APAL cuentan con SMHs designados, resultaría de interés que una vez iniciado el intercambio se obtenga la mayor cantidad de información adicional acerca de los SMHs bajo gestión de los APAL, como medida para facilitar la posterior difusión de la historia de la región en la Antártida. </w:t>
      </w:r>
    </w:p>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Próximos debates</w:t>
      </w:r>
    </w:p>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Durante el último CPA, el Reino Unido presentó el Documento de Trabajo 58,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Beneficios de los planes de gestión sobre conservación para el patrimonio antártico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proveyendo información para iniciar debates acerca de una tarea incluida en el Plan de trabajo quinquenal del CPA para su análisis durante la reunión de 2020. El documento recomendó que las Partes que asuman la gestión de SMH consideren si sería útil desarrollar planes de gestión sobre conservación en un formato y estilo adaptados, según corresponda, a cada SMH (teniendo en cuenta que probablemente algunos SMH no necesiten tales planes). El Comité brindó apoyo al documento y alentó el desarrollo de debates intersesionales, los cuales serán coordinados por el Reino Unido durante el presente periodo intersesional. </w:t>
      </w:r>
    </w:p>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Consideraciones finales</w:t>
      </w:r>
    </w:p>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 los últimos años las cuestiones vinculadas a los Sitios y Monumentos Históricos ha tenido un renovado impulso. Se han generado nuevos criterios para la designación de nuevos SMHs, se adoptaron medidas para la ampliación de la información de los SMHs ya designados y se continuará con los debates acerca de nuevas herramientas de gestión para los mismos, como ser los Planes de Manejo. </w:t>
      </w:r>
    </w:p>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tabs>
          <w:tab w:val="left" w:pos="681"/>
        </w:tabs>
        <w:spacing w:after="240" w:before="160" w:line="250" w:lineRule="auto"/>
        <w:ind w:left="927" w:right="115"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marco demuestra que la temática del patrimonio antártico continúa siendo un tema de importancia para los miembros del Tratado Antártico. Teniendo en cuenta que la difusión de los hechos antárticos vinculados a países de la región posee gran relevancia en la historia del continente, el contexto actual de debates abre una gran posibilidad para una mayor visibilización de estos hechos, que merece ser aprovechada. </w:t>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Anexo I. Material gráfico sobre del nuevo SMH N° 94 “</w:t>
      </w:r>
      <w:r w:rsidDel="00000000" w:rsidR="00000000" w:rsidRPr="00000000">
        <w:rPr>
          <w:rFonts w:ascii="Times New Roman" w:cs="Times New Roman" w:eastAsia="Times New Roman" w:hAnsi="Times New Roman"/>
          <w:i w:val="1"/>
          <w:sz w:val="24"/>
          <w:szCs w:val="24"/>
          <w:rtl w:val="0"/>
        </w:rPr>
        <w:t xml:space="preserve">Mojón C.A. Larsen perteneciente a varias expediciones”</w:t>
      </w:r>
      <w:r w:rsidDel="00000000" w:rsidR="00000000" w:rsidRPr="00000000">
        <w:rPr>
          <w:rtl w:val="0"/>
        </w:rPr>
      </w:r>
    </w:p>
    <w:p w:rsidR="00000000" w:rsidDel="00000000" w:rsidP="00000000" w:rsidRDefault="00000000" w:rsidRPr="00000000" w14:paraId="00000046">
      <w:pPr>
        <w:spacing w:line="30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-571500</wp:posOffset>
            </wp:positionH>
            <wp:positionV relativeFrom="paragraph">
              <wp:posOffset>215265</wp:posOffset>
            </wp:positionV>
            <wp:extent cx="3370917" cy="2171700"/>
            <wp:effectExtent b="0" l="0" r="0" t="0"/>
            <wp:wrapNone/>
            <wp:docPr id="11" name="image3.png"/>
            <a:graphic>
              <a:graphicData uri="http://schemas.openxmlformats.org/drawingml/2006/picture">
                <pic:pic>
                  <pic:nvPicPr>
                    <pic:cNvPr id="0" name="image3.png"/>
                    <pic:cNvPicPr preferRelativeResize="0"/>
                  </pic:nvPicPr>
                  <pic:blipFill>
                    <a:blip r:embed="rId8"/>
                    <a:srcRect b="0" l="2834" r="0" t="0"/>
                    <a:stretch>
                      <a:fillRect/>
                    </a:stretch>
                  </pic:blipFill>
                  <pic:spPr>
                    <a:xfrm>
                      <a:off x="0" y="0"/>
                      <a:ext cx="3370917" cy="21717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2857500</wp:posOffset>
            </wp:positionH>
            <wp:positionV relativeFrom="paragraph">
              <wp:posOffset>215265</wp:posOffset>
            </wp:positionV>
            <wp:extent cx="3314700" cy="2209800"/>
            <wp:effectExtent b="0" l="0" r="0" t="0"/>
            <wp:wrapNone/>
            <wp:docPr id="15" name="image6.png"/>
            <a:graphic>
              <a:graphicData uri="http://schemas.openxmlformats.org/drawingml/2006/picture">
                <pic:pic>
                  <pic:nvPicPr>
                    <pic:cNvPr id="0" name="image6.png"/>
                    <pic:cNvPicPr preferRelativeResize="0"/>
                  </pic:nvPicPr>
                  <pic:blipFill>
                    <a:blip r:embed="rId9"/>
                    <a:srcRect b="0" l="9394" r="0" t="0"/>
                    <a:stretch>
                      <a:fillRect/>
                    </a:stretch>
                  </pic:blipFill>
                  <pic:spPr>
                    <a:xfrm>
                      <a:off x="0" y="0"/>
                      <a:ext cx="3314700" cy="2209800"/>
                    </a:xfrm>
                    <a:prstGeom prst="rect"/>
                    <a:ln/>
                  </pic:spPr>
                </pic:pic>
              </a:graphicData>
            </a:graphic>
          </wp:anchor>
        </w:drawing>
      </w:r>
    </w:p>
    <w:p w:rsidR="00000000" w:rsidDel="00000000" w:rsidP="00000000" w:rsidRDefault="00000000" w:rsidRPr="00000000" w14:paraId="00000047">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8">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9">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A">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B">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C">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D">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E">
      <w:pPr>
        <w:spacing w:line="30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1.</w:t>
      </w:r>
      <w:r w:rsidDel="00000000" w:rsidR="00000000" w:rsidRPr="00000000">
        <w:rPr>
          <w:rFonts w:ascii="Times New Roman" w:cs="Times New Roman" w:eastAsia="Times New Roman" w:hAnsi="Times New Roman"/>
          <w:sz w:val="20"/>
          <w:szCs w:val="20"/>
          <w:rtl w:val="0"/>
        </w:rPr>
        <w:t xml:space="preserve"> Fotografías comparativas del mojón y sus alrededores en 1945 (British Antarctic Survey) y en 2016 (Instituto Antártico Argentino, Dirección Nacional del Antártico)</w:t>
      </w:r>
    </w:p>
    <w:p w:rsidR="00000000" w:rsidDel="00000000" w:rsidP="00000000" w:rsidRDefault="00000000" w:rsidRPr="00000000" w14:paraId="0000004F">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0">
      <w:pPr>
        <w:spacing w:line="300" w:lineRule="auto"/>
        <w:jc w:val="both"/>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571500</wp:posOffset>
            </wp:positionH>
            <wp:positionV relativeFrom="paragraph">
              <wp:posOffset>84455</wp:posOffset>
            </wp:positionV>
            <wp:extent cx="4673600" cy="2903855"/>
            <wp:effectExtent b="0" l="0" r="0" t="0"/>
            <wp:wrapNone/>
            <wp:docPr id="10" name="image4.png"/>
            <a:graphic>
              <a:graphicData uri="http://schemas.openxmlformats.org/drawingml/2006/picture">
                <pic:pic>
                  <pic:nvPicPr>
                    <pic:cNvPr id="0" name="image4.png"/>
                    <pic:cNvPicPr preferRelativeResize="0"/>
                  </pic:nvPicPr>
                  <pic:blipFill>
                    <a:blip r:embed="rId10"/>
                    <a:srcRect b="52617" l="0" r="0" t="0"/>
                    <a:stretch>
                      <a:fillRect/>
                    </a:stretch>
                  </pic:blipFill>
                  <pic:spPr>
                    <a:xfrm>
                      <a:off x="0" y="0"/>
                      <a:ext cx="4673600" cy="2903855"/>
                    </a:xfrm>
                    <a:prstGeom prst="rect"/>
                    <a:ln/>
                  </pic:spPr>
                </pic:pic>
              </a:graphicData>
            </a:graphic>
          </wp:anchor>
        </w:drawing>
      </w:r>
    </w:p>
    <w:p w:rsidR="00000000" w:rsidDel="00000000" w:rsidP="00000000" w:rsidRDefault="00000000" w:rsidRPr="00000000" w14:paraId="00000051">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spacing w:line="30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2.</w:t>
      </w:r>
      <w:r w:rsidDel="00000000" w:rsidR="00000000" w:rsidRPr="00000000">
        <w:rPr>
          <w:rFonts w:ascii="Times New Roman" w:cs="Times New Roman" w:eastAsia="Times New Roman" w:hAnsi="Times New Roman"/>
          <w:sz w:val="20"/>
          <w:szCs w:val="20"/>
          <w:rtl w:val="0"/>
        </w:rPr>
        <w:t xml:space="preserve"> Imagen satelital de la ubicación precisa del mojón</w:t>
      </w:r>
    </w:p>
    <w:p w:rsidR="00000000" w:rsidDel="00000000" w:rsidP="00000000" w:rsidRDefault="00000000" w:rsidRPr="00000000" w14:paraId="0000005B">
      <w:pPr>
        <w:spacing w:line="300" w:lineRule="auto"/>
        <w:jc w:val="both"/>
        <w:rPr>
          <w:rFonts w:ascii="Times New Roman" w:cs="Times New Roman" w:eastAsia="Times New Roman" w:hAnsi="Times New Roman"/>
          <w:sz w:val="24"/>
          <w:szCs w:val="24"/>
        </w:rPr>
      </w:pPr>
      <w:bookmarkStart w:colFirst="0" w:colLast="0" w:name="_heading=h.30j0zll" w:id="1"/>
      <w:bookmarkEnd w:id="1"/>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343148</wp:posOffset>
            </wp:positionH>
            <wp:positionV relativeFrom="paragraph">
              <wp:posOffset>12453</wp:posOffset>
            </wp:positionV>
            <wp:extent cx="4697215" cy="2136663"/>
            <wp:effectExtent b="0" l="0" r="0" t="0"/>
            <wp:wrapNone/>
            <wp:docPr id="12"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697215" cy="2136663"/>
                    </a:xfrm>
                    <a:prstGeom prst="rect"/>
                    <a:ln/>
                  </pic:spPr>
                </pic:pic>
              </a:graphicData>
            </a:graphic>
          </wp:anchor>
        </w:drawing>
      </w:r>
    </w:p>
    <w:p w:rsidR="00000000" w:rsidDel="00000000" w:rsidP="00000000" w:rsidRDefault="00000000" w:rsidRPr="00000000" w14:paraId="0000005C">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spacing w:line="30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E">
      <w:pPr>
        <w:spacing w:line="300" w:lineRule="auto"/>
        <w:jc w:val="cente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5F">
      <w:pPr>
        <w:spacing w:line="300" w:lineRule="auto"/>
        <w:jc w:val="cente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60">
      <w:pPr>
        <w:spacing w:line="300" w:lineRule="auto"/>
        <w:jc w:val="cente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61">
      <w:pPr>
        <w:spacing w:line="300" w:lineRule="auto"/>
        <w:jc w:val="cente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62">
      <w:pPr>
        <w:spacing w:line="30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3.</w:t>
      </w:r>
      <w:r w:rsidDel="00000000" w:rsidR="00000000" w:rsidRPr="00000000">
        <w:rPr>
          <w:rFonts w:ascii="Times New Roman" w:cs="Times New Roman" w:eastAsia="Times New Roman" w:hAnsi="Times New Roman"/>
          <w:sz w:val="20"/>
          <w:szCs w:val="20"/>
          <w:rtl w:val="0"/>
        </w:rPr>
        <w:t xml:space="preserve"> Valla provisoria ubicada alrededor del mojón durante la temporada 2015-2016. </w:t>
      </w:r>
    </w:p>
    <w:p w:rsidR="00000000" w:rsidDel="00000000" w:rsidP="00000000" w:rsidRDefault="00000000" w:rsidRPr="00000000" w14:paraId="00000063">
      <w:pPr>
        <w:spacing w:line="30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4">
      <w:pPr>
        <w:spacing w:line="30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4. </w:t>
      </w:r>
      <w:r w:rsidDel="00000000" w:rsidR="00000000" w:rsidRPr="00000000">
        <w:rPr>
          <w:rFonts w:ascii="Times New Roman" w:cs="Times New Roman" w:eastAsia="Times New Roman" w:hAnsi="Times New Roman"/>
          <w:sz w:val="20"/>
          <w:szCs w:val="20"/>
          <w:rtl w:val="0"/>
        </w:rPr>
        <w:t xml:space="preserve">Nota que dejaron los dos oficiales de la Armada Argentina durante la operación de rescate liderada por el Capitán Julián Irízar (Instituto Scott de Investigación Polar, referencia: SPRIMS730). En la nota dice: "</w:t>
      </w:r>
      <w:r w:rsidDel="00000000" w:rsidR="00000000" w:rsidRPr="00000000">
        <w:rPr>
          <w:rFonts w:ascii="Times New Roman" w:cs="Times New Roman" w:eastAsia="Times New Roman" w:hAnsi="Times New Roman"/>
          <w:i w:val="1"/>
          <w:sz w:val="20"/>
          <w:szCs w:val="20"/>
          <w:rtl w:val="0"/>
        </w:rPr>
        <w:t xml:space="preserve">Les soussignés, de l’ Expedition Argentine de Secours, commandant Capt. Julian Irizar, ont reconnu cette station le 7 Novembre, 1903 en trouvant seulement un point indiqué avec des pierres et au milieu une canne en bois avec la signature de Andersson et Sobral; faite une enquête complete et minutieux dessous et autour de pierre ont y trouve aucun écrit.  José Gorrochátegui - Doctor ; Felipe Fliess - Lieutenant”</w:t>
      </w:r>
      <w:r w:rsidDel="00000000" w:rsidR="00000000" w:rsidRPr="00000000">
        <w:rPr>
          <w:rFonts w:ascii="Times New Roman" w:cs="Times New Roman" w:eastAsia="Times New Roman" w:hAnsi="Times New Roman"/>
          <w:sz w:val="20"/>
          <w:szCs w:val="20"/>
          <w:rtl w:val="0"/>
        </w:rPr>
        <w:t xml:space="preserve">. En la nota al anverso dice: </w:t>
      </w:r>
      <w:r w:rsidDel="00000000" w:rsidR="00000000" w:rsidRPr="00000000">
        <w:rPr>
          <w:rFonts w:ascii="Times New Roman" w:cs="Times New Roman" w:eastAsia="Times New Roman" w:hAnsi="Times New Roman"/>
          <w:i w:val="1"/>
          <w:sz w:val="20"/>
          <w:szCs w:val="20"/>
          <w:rtl w:val="0"/>
        </w:rPr>
        <w:t xml:space="preserve">“ont prie de les laisser dans le point pour le cas que Les Expeditions Francaises on soude arrivé. Avis Important</w:t>
      </w:r>
      <w:r w:rsidDel="00000000" w:rsidR="00000000" w:rsidRPr="00000000">
        <w:rPr>
          <w:rFonts w:ascii="Times New Roman" w:cs="Times New Roman" w:eastAsia="Times New Roman" w:hAnsi="Times New Roman"/>
          <w:i w:val="1"/>
          <w:sz w:val="20"/>
          <w:szCs w:val="20"/>
          <w:vertAlign w:val="superscript"/>
        </w:rPr>
        <w:footnoteReference w:customMarkFollows="0" w:id="0"/>
      </w:r>
      <w:r w:rsidDel="00000000" w:rsidR="00000000" w:rsidRPr="00000000">
        <w:rPr>
          <w:rFonts w:ascii="Times New Roman" w:cs="Times New Roman" w:eastAsia="Times New Roman" w:hAnsi="Times New Roman"/>
          <w:i w:val="1"/>
          <w:sz w:val="20"/>
          <w:szCs w:val="20"/>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636</wp:posOffset>
            </wp:positionH>
            <wp:positionV relativeFrom="paragraph">
              <wp:posOffset>10795</wp:posOffset>
            </wp:positionV>
            <wp:extent cx="2603500" cy="2941955"/>
            <wp:effectExtent b="0" l="0" r="0" t="0"/>
            <wp:wrapSquare wrapText="bothSides" distB="0" distT="0" distL="114300" distR="114300"/>
            <wp:docPr id="14"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2603500" cy="2941955"/>
                    </a:xfrm>
                    <a:prstGeom prst="rect"/>
                    <a:ln/>
                  </pic:spPr>
                </pic:pic>
              </a:graphicData>
            </a:graphic>
          </wp:anchor>
        </w:drawing>
      </w:r>
    </w:p>
    <w:sectPr>
      <w:headerReference r:id="rId13" w:type="default"/>
      <w:footerReference r:id="rId14" w:type="default"/>
      <w:pgSz w:h="16838" w:w="11906"/>
      <w:pgMar w:bottom="1134" w:top="3651" w:left="1701" w:right="1134" w:header="284"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200" w:before="0" w:line="276"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“Los abajo firmantes, pertenecientes a la Expedición de Socorro Argentina, Comandante Cap. Julián Irizar, reconocieron esta estación el 7 de noviembre de 1903, al encontrar solamente un punto marcado con piedras y en medio, un poste de madera con la firma de Andersson y Sobral; se realizó una investigación completa y exhaustiva debajo y alrededor de las piedras sin encontrar nota alguna. José Gorrochátegui, Doctor; Felipe Fliess, Teniente”. En la nota al anverso dice: “Aviso importante: rogamos que se dejen en el lugar en caso de que lleguen las expediciones francesas”.</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200" w:before="0" w:line="276" w:lineRule="auto"/>
      <w:ind w:left="0" w:right="0" w:firstLine="0"/>
      <w:jc w:val="left"/>
      <w:rPr>
        <w:rFonts w:ascii="Arial Narrow" w:cs="Arial Narrow" w:eastAsia="Arial Narrow" w:hAnsi="Arial Narrow"/>
        <w:b w:val="0"/>
        <w:i w:val="0"/>
        <w:smallCaps w:val="0"/>
        <w:strike w:val="0"/>
        <w:color w:val="000000"/>
        <w:sz w:val="24"/>
        <w:szCs w:val="24"/>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4"/>
        <w:szCs w:val="24"/>
        <w:u w:val="none"/>
        <w:shd w:fill="auto" w:val="clear"/>
        <w:vertAlign w:val="baseline"/>
      </w:rPr>
      <w:drawing>
        <wp:inline distB="114300" distT="114300" distL="114300" distR="114300">
          <wp:extent cx="4430078" cy="1025142"/>
          <wp:effectExtent b="0" l="0" r="0" t="0"/>
          <wp:docPr id="13"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4430078" cy="102514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AR"/>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120" w:before="480" w:line="276" w:lineRule="auto"/>
      <w:ind w:left="0" w:right="0" w:firstLine="0"/>
      <w:jc w:val="left"/>
    </w:pPr>
    <w:rPr>
      <w:rFonts w:ascii="Calibri" w:cs="Calibri" w:eastAsia="Calibri" w:hAnsi="Calibri"/>
      <w:b w:val="1"/>
      <w:i w:val="0"/>
      <w:smallCaps w:val="0"/>
      <w:strike w:val="0"/>
      <w:color w:val="000000"/>
      <w:sz w:val="48"/>
      <w:szCs w:val="48"/>
      <w:u w:val="none"/>
      <w:shd w:fill="auto" w:val="clear"/>
      <w:vertAlign w:val="baseline"/>
    </w:rPr>
  </w:style>
  <w:style w:type="paragraph" w:styleId="Heading2">
    <w:name w:val="heading 2"/>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Calibri" w:cs="Calibri" w:eastAsia="Calibri" w:hAnsi="Calibri"/>
      <w:b w:val="1"/>
      <w:i w:val="0"/>
      <w:smallCaps w:val="0"/>
      <w:strike w:val="0"/>
      <w:color w:val="000000"/>
      <w:sz w:val="36"/>
      <w:szCs w:val="36"/>
      <w:u w:val="none"/>
      <w:shd w:fill="auto" w:val="clear"/>
      <w:vertAlign w:val="baseline"/>
    </w:rPr>
  </w:style>
  <w:style w:type="paragraph" w:styleId="Heading3">
    <w:name w:val="heading 3"/>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80" w:before="280" w:line="276" w:lineRule="auto"/>
      <w:ind w:left="0" w:right="0" w:firstLine="0"/>
      <w:jc w:val="left"/>
    </w:pPr>
    <w:rPr>
      <w:rFonts w:ascii="Calibri" w:cs="Calibri" w:eastAsia="Calibri" w:hAnsi="Calibri"/>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40" w:before="240" w:line="276" w:lineRule="auto"/>
      <w:ind w:left="0" w:right="0" w:firstLine="0"/>
      <w:jc w:val="left"/>
    </w:pPr>
    <w:rPr>
      <w:rFonts w:ascii="Calibri" w:cs="Calibri" w:eastAsia="Calibri" w:hAnsi="Calibri"/>
      <w:b w:val="1"/>
      <w:i w:val="0"/>
      <w:smallCaps w:val="0"/>
      <w:strike w:val="0"/>
      <w:color w:val="000000"/>
      <w:sz w:val="24"/>
      <w:szCs w:val="24"/>
      <w:u w:val="none"/>
      <w:shd w:fill="auto" w:val="clear"/>
      <w:vertAlign w:val="baseline"/>
    </w:rPr>
  </w:style>
  <w:style w:type="paragraph" w:styleId="Heading5">
    <w:name w:val="heading 5"/>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40" w:before="220" w:line="276" w:lineRule="auto"/>
      <w:ind w:left="0" w:right="0" w:firstLine="0"/>
      <w:jc w:val="left"/>
    </w:pPr>
    <w:rPr>
      <w:rFonts w:ascii="Calibri" w:cs="Calibri" w:eastAsia="Calibri" w:hAnsi="Calibri"/>
      <w:b w:val="1"/>
      <w:i w:val="0"/>
      <w:smallCaps w:val="0"/>
      <w:strike w:val="0"/>
      <w:color w:val="000000"/>
      <w:sz w:val="22"/>
      <w:szCs w:val="22"/>
      <w:u w:val="none"/>
      <w:shd w:fill="auto" w:val="clear"/>
      <w:vertAlign w:val="baseline"/>
    </w:rPr>
  </w:style>
  <w:style w:type="paragraph" w:styleId="Heading6">
    <w:name w:val="heading 6"/>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40" w:before="200" w:line="276" w:lineRule="auto"/>
      <w:ind w:left="0" w:right="0" w:firstLine="0"/>
      <w:jc w:val="left"/>
    </w:pPr>
    <w:rPr>
      <w:rFonts w:ascii="Calibri" w:cs="Calibri" w:eastAsia="Calibri" w:hAnsi="Calibri"/>
      <w:b w:val="1"/>
      <w:i w:val="0"/>
      <w:smallCaps w:val="0"/>
      <w:strike w:val="0"/>
      <w:color w:val="000000"/>
      <w:sz w:val="20"/>
      <w:szCs w:val="20"/>
      <w:u w:val="none"/>
      <w:shd w:fill="auto" w:val="clear"/>
      <w:vertAlign w:val="baseline"/>
    </w:rPr>
  </w:style>
  <w:style w:type="paragraph" w:styleId="Title">
    <w:name w:val="Title"/>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120" w:before="480" w:line="276" w:lineRule="auto"/>
      <w:ind w:left="0" w:right="0" w:firstLine="0"/>
      <w:jc w:val="left"/>
    </w:pPr>
    <w:rPr>
      <w:rFonts w:ascii="Calibri" w:cs="Calibri" w:eastAsia="Calibri" w:hAnsi="Calibri"/>
      <w:b w:val="1"/>
      <w:i w:val="0"/>
      <w:smallCaps w:val="0"/>
      <w:strike w:val="0"/>
      <w:color w:val="000000"/>
      <w:sz w:val="72"/>
      <w:szCs w:val="72"/>
      <w:u w:val="none"/>
      <w:shd w:fill="auto" w:val="clear"/>
      <w:vertAlign w:val="baseline"/>
    </w:rPr>
  </w:style>
  <w:style w:type="paragraph" w:styleId="Normal" w:default="1">
    <w:name w:val="Normal"/>
    <w:qFormat w:val="1"/>
    <w:rPr>
      <w:lang w:val="es-AR"/>
    </w:rPr>
  </w:style>
  <w:style w:type="paragraph" w:styleId="Ttulo1">
    <w:name w:val="heading 1"/>
    <w:basedOn w:val="Normal1"/>
    <w:next w:val="Normal1"/>
    <w:pPr>
      <w:keepNext w:val="1"/>
      <w:keepLines w:val="1"/>
      <w:spacing w:after="120" w:before="480"/>
      <w:outlineLvl w:val="0"/>
    </w:pPr>
    <w:rPr>
      <w:b w:val="1"/>
      <w:sz w:val="48"/>
      <w:szCs w:val="48"/>
    </w:rPr>
  </w:style>
  <w:style w:type="paragraph" w:styleId="Ttulo2">
    <w:name w:val="heading 2"/>
    <w:basedOn w:val="Normal1"/>
    <w:next w:val="Normal1"/>
    <w:pPr>
      <w:keepNext w:val="1"/>
      <w:keepLines w:val="1"/>
      <w:spacing w:after="80" w:before="360"/>
      <w:outlineLvl w:val="1"/>
    </w:pPr>
    <w:rPr>
      <w:b w:val="1"/>
      <w:sz w:val="36"/>
      <w:szCs w:val="36"/>
    </w:rPr>
  </w:style>
  <w:style w:type="paragraph" w:styleId="Ttulo3">
    <w:name w:val="heading 3"/>
    <w:basedOn w:val="Normal1"/>
    <w:next w:val="Normal1"/>
    <w:pPr>
      <w:keepNext w:val="1"/>
      <w:keepLines w:val="1"/>
      <w:spacing w:after="80" w:before="280"/>
      <w:outlineLvl w:val="2"/>
    </w:pPr>
    <w:rPr>
      <w:b w:val="1"/>
      <w:sz w:val="28"/>
      <w:szCs w:val="28"/>
    </w:rPr>
  </w:style>
  <w:style w:type="paragraph" w:styleId="Ttulo4">
    <w:name w:val="heading 4"/>
    <w:basedOn w:val="Normal1"/>
    <w:next w:val="Normal1"/>
    <w:pPr>
      <w:keepNext w:val="1"/>
      <w:keepLines w:val="1"/>
      <w:spacing w:after="40" w:before="240"/>
      <w:outlineLvl w:val="3"/>
    </w:pPr>
    <w:rPr>
      <w:b w:val="1"/>
      <w:sz w:val="24"/>
      <w:szCs w:val="24"/>
    </w:rPr>
  </w:style>
  <w:style w:type="paragraph" w:styleId="Ttulo5">
    <w:name w:val="heading 5"/>
    <w:basedOn w:val="Normal1"/>
    <w:next w:val="Normal1"/>
    <w:pPr>
      <w:keepNext w:val="1"/>
      <w:keepLines w:val="1"/>
      <w:spacing w:after="40" w:before="220"/>
      <w:outlineLvl w:val="4"/>
    </w:pPr>
    <w:rPr>
      <w:b w:val="1"/>
    </w:rPr>
  </w:style>
  <w:style w:type="paragraph" w:styleId="Ttulo6">
    <w:name w:val="heading 6"/>
    <w:basedOn w:val="Normal1"/>
    <w:next w:val="Norm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paragraph" w:styleId="Normal1" w:customStyle="1">
    <w:name w:val="Normal1"/>
  </w:style>
  <w:style w:type="paragraph" w:styleId="Ttulo">
    <w:name w:val="Title"/>
    <w:basedOn w:val="Normal1"/>
    <w:next w:val="Normal1"/>
    <w:pPr>
      <w:keepNext w:val="1"/>
      <w:keepLines w:val="1"/>
      <w:spacing w:after="120" w:before="480"/>
    </w:pPr>
    <w:rPr>
      <w:b w:val="1"/>
      <w:sz w:val="72"/>
      <w:szCs w:val="72"/>
    </w:rPr>
  </w:style>
  <w:style w:type="paragraph" w:styleId="Subttulo">
    <w:name w:val="Subtitle"/>
    <w:basedOn w:val="Normal1"/>
    <w:next w:val="Normal1"/>
    <w:pPr>
      <w:keepNext w:val="1"/>
      <w:keepLines w:val="1"/>
      <w:spacing w:after="80" w:before="360"/>
    </w:pPr>
    <w:rPr>
      <w:rFonts w:ascii="Georgia" w:cs="Georgia" w:eastAsia="Georgia" w:hAnsi="Georgia"/>
      <w:i w:val="1"/>
      <w:color w:val="666666"/>
      <w:sz w:val="48"/>
      <w:szCs w:val="48"/>
    </w:rPr>
  </w:style>
  <w:style w:type="table" w:styleId="1" w:customStyle="1">
    <w:name w:val="1"/>
    <w:basedOn w:val="Tablanormal"/>
    <w:tblPr>
      <w:tblStyleRowBandSize w:val="1"/>
      <w:tblStyleColBandSize w:val="1"/>
      <w:tblInd w:w="0.0" w:type="dxa"/>
      <w:tblCellMar>
        <w:top w:w="55.0" w:type="dxa"/>
        <w:left w:w="55.0" w:type="dxa"/>
        <w:bottom w:w="55.0" w:type="dxa"/>
        <w:right w:w="55.0" w:type="dxa"/>
      </w:tblCellMar>
    </w:tblPr>
  </w:style>
  <w:style w:type="paragraph" w:styleId="Textodeglobo">
    <w:name w:val="Balloon Text"/>
    <w:basedOn w:val="Normal"/>
    <w:link w:val="TextodegloboCar"/>
    <w:uiPriority w:val="99"/>
    <w:semiHidden w:val="1"/>
    <w:unhideWhenUsed w:val="1"/>
    <w:rsid w:val="00BC2636"/>
    <w:pPr>
      <w:spacing w:after="0" w:line="240" w:lineRule="auto"/>
    </w:pPr>
    <w:rPr>
      <w:rFonts w:ascii="Lucida Grande" w:cs="Lucida Grande" w:hAnsi="Lucida Grande"/>
      <w:sz w:val="18"/>
      <w:szCs w:val="18"/>
    </w:rPr>
  </w:style>
  <w:style w:type="character" w:styleId="TextodegloboCar" w:customStyle="1">
    <w:name w:val="Texto de globo Car"/>
    <w:basedOn w:val="Fuentedeprrafopredeter"/>
    <w:link w:val="Textodeglobo"/>
    <w:uiPriority w:val="99"/>
    <w:semiHidden w:val="1"/>
    <w:rsid w:val="00BC2636"/>
    <w:rPr>
      <w:rFonts w:ascii="Lucida Grande" w:cs="Lucida Grande" w:hAnsi="Lucida Grande"/>
      <w:sz w:val="18"/>
      <w:szCs w:val="18"/>
    </w:rPr>
  </w:style>
  <w:style w:type="paragraph" w:styleId="NormalWeb">
    <w:name w:val="Normal (Web)"/>
    <w:basedOn w:val="Normal"/>
    <w:uiPriority w:val="99"/>
    <w:semiHidden w:val="1"/>
    <w:unhideWhenUsed w:val="1"/>
    <w:rsid w:val="00BC2636"/>
    <w:pPr>
      <w:spacing w:after="100" w:afterAutospacing="1" w:before="100" w:beforeAutospacing="1" w:line="240" w:lineRule="auto"/>
    </w:pPr>
    <w:rPr>
      <w:rFonts w:ascii="Times New Roman" w:cs="Times New Roman" w:eastAsia="Times New Roman" w:hAnsi="Times New Roman"/>
      <w:sz w:val="24"/>
      <w:szCs w:val="24"/>
      <w:lang w:eastAsia="es-AR"/>
    </w:rPr>
  </w:style>
  <w:style w:type="character" w:styleId="Textoennegrita">
    <w:name w:val="Strong"/>
    <w:basedOn w:val="Fuentedeprrafopredeter"/>
    <w:uiPriority w:val="22"/>
    <w:qFormat w:val="1"/>
    <w:rsid w:val="00BC2636"/>
    <w:rPr>
      <w:b w:val="1"/>
      <w:bCs w:val="1"/>
    </w:rPr>
  </w:style>
  <w:style w:type="paragraph" w:styleId="ATSTitle" w:customStyle="1">
    <w:name w:val="ATS Title"/>
    <w:basedOn w:val="Normal"/>
    <w:qFormat w:val="1"/>
    <w:rsid w:val="00C12DF4"/>
    <w:pPr>
      <w:spacing w:after="360" w:before="360" w:line="240" w:lineRule="auto"/>
      <w:contextualSpacing w:val="1"/>
      <w:jc w:val="center"/>
    </w:pPr>
    <w:rPr>
      <w:rFonts w:ascii="Arial" w:cs="Times New Roman" w:eastAsia="Times New Roman" w:hAnsi="Arial"/>
      <w:b w:val="1"/>
      <w:sz w:val="48"/>
      <w:szCs w:val="24"/>
    </w:rPr>
  </w:style>
  <w:style w:type="paragraph" w:styleId="ATSNormal" w:customStyle="1">
    <w:name w:val="ATS Normal"/>
    <w:basedOn w:val="Normal"/>
    <w:qFormat w:val="1"/>
    <w:rsid w:val="00C12DF4"/>
    <w:pPr>
      <w:spacing w:after="120" w:before="120" w:line="240" w:lineRule="auto"/>
    </w:pPr>
    <w:rPr>
      <w:rFonts w:ascii="Times New Roman" w:cs="Times New Roman" w:eastAsia="Times New Roman" w:hAnsi="Times New Roman"/>
      <w:szCs w:val="24"/>
      <w:lang w:eastAsia="en-GB"/>
    </w:rPr>
  </w:style>
  <w:style w:type="paragraph" w:styleId="ATSHeading1" w:customStyle="1">
    <w:name w:val="ATS Heading 1"/>
    <w:basedOn w:val="ATSNormal"/>
    <w:next w:val="ATSNormal"/>
    <w:qFormat w:val="1"/>
    <w:rsid w:val="00C12DF4"/>
    <w:pPr>
      <w:spacing w:after="360" w:before="360"/>
      <w:jc w:val="center"/>
    </w:pPr>
    <w:rPr>
      <w:rFonts w:ascii="Arial" w:hAnsi="Arial"/>
      <w:b w:val="1"/>
      <w:sz w:val="32"/>
    </w:rPr>
  </w:style>
  <w:style w:type="character" w:styleId="Refdenotaalpie">
    <w:name w:val="footnote reference"/>
    <w:rsid w:val="00C12DF4"/>
    <w:rPr>
      <w:vertAlign w:val="superscript"/>
    </w:rPr>
  </w:style>
  <w:style w:type="paragraph" w:styleId="Textonotapie">
    <w:name w:val="footnote text"/>
    <w:basedOn w:val="Normal"/>
    <w:link w:val="TextonotapieCar"/>
    <w:rsid w:val="00C12DF4"/>
    <w:pPr>
      <w:spacing w:after="0" w:line="240" w:lineRule="auto"/>
    </w:pPr>
    <w:rPr>
      <w:rFonts w:ascii="Times New Roman" w:cs="Times New Roman" w:eastAsia="Times New Roman" w:hAnsi="Times New Roman"/>
    </w:rPr>
  </w:style>
  <w:style w:type="character" w:styleId="TextonotapieCar" w:customStyle="1">
    <w:name w:val="Texto nota pie Car"/>
    <w:basedOn w:val="Fuentedeprrafopredeter"/>
    <w:link w:val="Textonotapie"/>
    <w:rsid w:val="00C12DF4"/>
    <w:rPr>
      <w:rFonts w:ascii="Times New Roman" w:cs="Times New Roman" w:eastAsia="Times New Roman" w:hAnsi="Times New Roman"/>
      <w:lang w:val="es-AR"/>
    </w:rPr>
  </w:style>
  <w:style w:type="paragraph" w:styleId="Prrafodelista">
    <w:name w:val="List Paragraph"/>
    <w:basedOn w:val="Normal"/>
    <w:uiPriority w:val="34"/>
    <w:qFormat w:val="1"/>
    <w:rsid w:val="00C12DF4"/>
    <w:pPr>
      <w:spacing w:after="0" w:line="240" w:lineRule="auto"/>
      <w:ind w:left="720"/>
    </w:pPr>
    <w:rPr>
      <w:rFonts w:ascii="Times New Roman" w:cs="Times New Roman" w:eastAsia="Times New Roman" w:hAnsi="Times New Roman"/>
      <w:szCs w:val="24"/>
    </w:rPr>
  </w:style>
  <w:style w:type="character" w:styleId="shorttext" w:customStyle="1">
    <w:name w:val="short_text"/>
    <w:rsid w:val="00C12DF4"/>
  </w:style>
  <w:style w:type="character" w:styleId="alt-edited" w:customStyle="1">
    <w:name w:val="alt-edited"/>
    <w:rsid w:val="00C12DF4"/>
  </w:style>
  <w:style w:type="paragraph" w:styleId="Default" w:customStyle="1">
    <w:name w:val="Default"/>
    <w:rsid w:val="00C12DF4"/>
    <w:pPr>
      <w:autoSpaceDE w:val="0"/>
      <w:autoSpaceDN w:val="0"/>
      <w:adjustRightInd w:val="0"/>
      <w:spacing w:after="0" w:line="240" w:lineRule="auto"/>
    </w:pPr>
    <w:rPr>
      <w:rFonts w:ascii="Times New Roman" w:cs="Times New Roman" w:eastAsia="Times New Roman" w:hAnsi="Times New Roman"/>
      <w:color w:val="000000"/>
      <w:sz w:val="24"/>
      <w:szCs w:val="24"/>
      <w:lang w:eastAsia="es-ES" w:val="es-AR"/>
    </w:rPr>
  </w:style>
  <w:style w:type="character" w:styleId="tlid-translation" w:customStyle="1">
    <w:name w:val="tlid-translation"/>
    <w:rsid w:val="00C12DF4"/>
  </w:style>
  <w:style w:type="paragraph" w:styleId="Encabezado">
    <w:name w:val="header"/>
    <w:basedOn w:val="Normal"/>
    <w:link w:val="EncabezadoCar"/>
    <w:uiPriority w:val="99"/>
    <w:unhideWhenUsed w:val="1"/>
    <w:rsid w:val="00C91B83"/>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C91B83"/>
  </w:style>
  <w:style w:type="paragraph" w:styleId="Piedepgina">
    <w:name w:val="footer"/>
    <w:basedOn w:val="Normal"/>
    <w:link w:val="PiedepginaCar"/>
    <w:uiPriority w:val="99"/>
    <w:unhideWhenUsed w:val="1"/>
    <w:rsid w:val="00C91B83"/>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C91B83"/>
  </w:style>
  <w:style w:type="paragraph" w:styleId="Textoindependiente">
    <w:name w:val="Body Text"/>
    <w:aliases w:val="CEP Paragraph Text"/>
    <w:basedOn w:val="Normal"/>
    <w:link w:val="TextoindependienteCar"/>
    <w:uiPriority w:val="1"/>
    <w:qFormat w:val="1"/>
    <w:rsid w:val="00180CE9"/>
    <w:pPr>
      <w:widowControl w:val="0"/>
      <w:numPr>
        <w:numId w:val="5"/>
      </w:numPr>
      <w:tabs>
        <w:tab w:val="left" w:pos="681"/>
      </w:tabs>
      <w:spacing w:after="240" w:before="160" w:line="250" w:lineRule="auto"/>
      <w:ind w:right="115"/>
      <w:jc w:val="both"/>
    </w:pPr>
    <w:rPr>
      <w:rFonts w:ascii="Times New Roman" w:cs="Times New Roman" w:hAnsi="Times New Roman"/>
      <w:lang w:eastAsia="x-none"/>
    </w:rPr>
  </w:style>
  <w:style w:type="character" w:styleId="TextoindependienteCar" w:customStyle="1">
    <w:name w:val="Texto independiente Car"/>
    <w:aliases w:val="CEP Paragraph Text Car"/>
    <w:basedOn w:val="Fuentedeprrafopredeter"/>
    <w:link w:val="Textoindependiente"/>
    <w:uiPriority w:val="1"/>
    <w:rsid w:val="00180CE9"/>
    <w:rPr>
      <w:rFonts w:ascii="Times New Roman" w:cs="Times New Roman" w:hAnsi="Times New Roman"/>
      <w:lang w:eastAsia="x-none" w:val="es-AR"/>
    </w:rPr>
  </w:style>
  <w:style w:type="paragraph" w:styleId="ColorfulList-Accent11" w:customStyle="1">
    <w:name w:val="Colorful List - Accent 11"/>
    <w:aliases w:val="CEP Bullet List"/>
    <w:basedOn w:val="Normal"/>
    <w:uiPriority w:val="34"/>
    <w:qFormat w:val="1"/>
    <w:rsid w:val="00180CE9"/>
    <w:pPr>
      <w:widowControl w:val="0"/>
      <w:numPr>
        <w:ilvl w:val="1"/>
        <w:numId w:val="5"/>
      </w:numPr>
      <w:tabs>
        <w:tab w:val="left" w:pos="1134"/>
      </w:tabs>
      <w:spacing w:after="0" w:before="113" w:line="250" w:lineRule="auto"/>
      <w:ind w:right="111"/>
      <w:jc w:val="both"/>
    </w:pPr>
    <w:rPr>
      <w:rFonts w:ascii="Times New Roman" w:cs="Times New Roman" w:eastAsia="Times New Roman" w:hAnsi="Times New Roman"/>
    </w:rPr>
  </w:style>
  <w:style w:type="character" w:styleId="georgiarojo12bold" w:customStyle="1">
    <w:name w:val="georgiarojo12bold"/>
    <w:rsid w:val="00BE7333"/>
  </w:style>
  <w:style w:type="paragraph" w:styleId="Subtitle">
    <w:name w:val="Subtitle"/>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55.0" w:type="dxa"/>
        <w:left w:w="55.0" w:type="dxa"/>
        <w:bottom w:w="55.0" w:type="dxa"/>
        <w:right w:w="5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4.png"/><Relationship Id="rId13" Type="http://schemas.openxmlformats.org/officeDocument/2006/relationships/header" Target="header1.xml"/><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6.png"/><Relationship Id="rId1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LBpNMPZGLXSUnorizcxZrrJlEeg==">AMUW2mVhRYMtbfBU7KJH9JXckvzTqC5kKUa7gMMkAsR3P+V/kXSdXy/5qfqwz/lowErJSq1bPswDpeUOiBsWIEwoEyNAinPe3AnYiuxzk6Mv6Ihyc12FVurh5JlQdTt2qMzzPlzBZY13rWgfcMGCiZ72y4DWWH/xcAmIcGyVAluDMROEFaqGu4E=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2019-09-05T12:40:00Z</dcterms:created>
  <dc:creator>Gowland, Máximo Eduardo</dc:creator>
</cp:coreProperties>
</file>