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 21</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Tipo de Documento:</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País: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Tipo de Sección: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Punto de la Agenda: </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(Argentina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Plenario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bl>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gjdgxs" w:id="0"/>
    <w:bookmarkEnd w:id="0"/>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Actividades del Instituto Antártico Argentino</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36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Año 2018</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Resumen</w:t>
      </w:r>
    </w:p>
    <w:p w:rsidR="00000000" w:rsidDel="00000000" w:rsidP="00000000" w:rsidRDefault="00000000" w:rsidRPr="00000000" w14:paraId="00000015">
      <w:pPr>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El presente informe contiene una síntesis de los resultados del trabajo del Instituto Antártico Argentino (IAA) durante el año 2018. Esta información también fue presentada como documento IP 79 a la 42ª Reunión Consultiva del Tratado Antártico, celebrada en Praga, República Checa, entre el 1 y el 11 de julio de 2019.</w:t>
      </w: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Introducción</w:t>
      </w:r>
    </w:p>
    <w:p w:rsidR="00000000" w:rsidDel="00000000" w:rsidP="00000000" w:rsidRDefault="00000000" w:rsidRPr="00000000" w14:paraId="0000001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IAA es un organismo científico-tecnológico dependiente de la Dirección Nacional del Antártico, dentro del Ministerio de Relaciones Exteriores y Culto, orientado bajo normas políticas del Estado de la República Argentina. Es integrante activo del Sistema Nacional de Ciencia y Tecnología del Estado Argentino, y es pionero a nivel internacional en el desarrollo de investigación antártica.</w:t>
      </w:r>
    </w:p>
    <w:p w:rsidR="00000000" w:rsidDel="00000000" w:rsidP="00000000" w:rsidRDefault="00000000" w:rsidRPr="00000000" w14:paraId="00000019">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Producción del Instituto Antártico Argentino</w:t>
      </w:r>
    </w:p>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IAA tiene una dotación propia de 60 investigadores graduados en disciplinas científicas diversas que coordinan y desarrollan proyectos de investigación en la Antártida. Sin embargo, más del 70% de las actividades que el IAA desarrolla en la Antártida se realizan en conjunto con investigadores de universidades y organismos de ciencia y tecnología del ámbito nacional, y un 60% de sus proyectos incorpora algún componente de cooperación científica internacional, en asociación con Programas Antárticos Nacionales de otras Partes en el Tratado Antártico, así como universidades y centros de investigación de más de 20 países.</w:t>
      </w:r>
    </w:p>
    <w:p w:rsidR="00000000" w:rsidDel="00000000" w:rsidP="00000000" w:rsidRDefault="00000000" w:rsidRPr="00000000" w14:paraId="0000001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continuación se enumeran, a modo de breve síntesis, los resultados producidos por el IAA durante el año 2018 en materia de producción científica, formación de recursos humanos, asesoramiento científico, actividades de capacitación y divulgación: </w:t>
      </w:r>
    </w:p>
    <w:p w:rsidR="00000000" w:rsidDel="00000000" w:rsidP="00000000" w:rsidRDefault="00000000" w:rsidRPr="00000000" w14:paraId="0000001C">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Producción científica: Investigadores del IAA publicaron 74 artículos científicos con revisión de pares (</w:t>
      </w:r>
      <w:r w:rsidDel="00000000" w:rsidR="00000000" w:rsidRPr="00000000">
        <w:rPr>
          <w:rFonts w:ascii="Times New Roman" w:cs="Times New Roman" w:eastAsia="Times New Roman" w:hAnsi="Times New Roman"/>
          <w:i w:val="1"/>
          <w:rtl w:val="0"/>
        </w:rPr>
        <w:t xml:space="preserve">peer review</w:t>
      </w:r>
      <w:r w:rsidDel="00000000" w:rsidR="00000000" w:rsidRPr="00000000">
        <w:rPr>
          <w:rFonts w:ascii="Times New Roman" w:cs="Times New Roman" w:eastAsia="Times New Roman" w:hAnsi="Times New Roman"/>
          <w:rtl w:val="0"/>
        </w:rPr>
        <w:t xml:space="preserve">) en revistas especializadas y 4 capítulos de libros, y efectuaron 127 presentaciones en congresos nacionales e internacionales. Es preciso destacar que la producción científica de estos artículos nuevamente ha logrado superar a la del año anterior, situación que confirma una tendencia que se mantiene en forma continua desde el año 2010, y que ya suma cerca de 200 artículos publicados en el trienio 2016-2018. </w:t>
      </w:r>
    </w:p>
    <w:p w:rsidR="00000000" w:rsidDel="00000000" w:rsidP="00000000" w:rsidRDefault="00000000" w:rsidRPr="00000000" w14:paraId="0000001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Congresos científicos: Especial énfasis se pone en la exitosa realización del Taller “Procesos Biológicos en Ecosistemas Antárticos”, organizado por el Comité Científico de Investigaciones Antárticas (SCAR) y el IAA en Buenos Aires (septiembre de 2018), del que participaron más de 50 científicos de todo el mundo, y 14 docentes provenientes de 7 países.</w:t>
      </w:r>
    </w:p>
    <w:p w:rsidR="00000000" w:rsidDel="00000000" w:rsidP="00000000" w:rsidRDefault="00000000" w:rsidRPr="00000000" w14:paraId="0000001F">
      <w:pPr>
        <w:ind w:left="7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Construcción de capacidades: el mejoramiento de las competencias de los recursos humanos del IAA se vio reflejado en la presentación de 18 tesis, que incluyen licenciaturas, maestrías y doctorados, en cuestiones científicas antárticas bajo la dirección de personal del IAA.  Es preciso destacar también que, durante 2018, personal del IAA obtuvo 3 nuevos títulos de doctorado y 2 de licenciatura.</w:t>
      </w:r>
    </w:p>
    <w:p w:rsidR="00000000" w:rsidDel="00000000" w:rsidP="00000000" w:rsidRDefault="00000000" w:rsidRPr="00000000" w14:paraId="00000021">
      <w:pPr>
        <w:ind w:left="7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Carreras de investigador: una investigadora antártica en Biotecnología y Bioquímica, obtuvo el ingreso a la carrera de investigador del Consejo Nacional de Investigaciones Científicas y Técnicas (CONICET) -principal organismo dedicado a la promoción de la ciencia y la tecnología en la Argentina- para el desarrollo de un plan sobre biología y potencial biotecnológico de hongos antárticos, con lugar de trabajo en el IAA.</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Becas obtenidas: un investigador del IAA fue premiado con una de las becas del SCAR para perfeccionamiento en el exterior (</w:t>
      </w:r>
      <w:r w:rsidDel="00000000" w:rsidR="00000000" w:rsidRPr="00000000">
        <w:rPr>
          <w:rFonts w:ascii="Times New Roman" w:cs="Times New Roman" w:eastAsia="Times New Roman" w:hAnsi="Times New Roman"/>
          <w:i w:val="1"/>
          <w:rtl w:val="0"/>
        </w:rPr>
        <w:t xml:space="preserve">SCAR Fellowship</w:t>
      </w:r>
      <w:r w:rsidDel="00000000" w:rsidR="00000000" w:rsidRPr="00000000">
        <w:rPr>
          <w:rFonts w:ascii="Times New Roman" w:cs="Times New Roman" w:eastAsia="Times New Roman" w:hAnsi="Times New Roman"/>
          <w:rtl w:val="0"/>
        </w:rPr>
        <w:t xml:space="preserve">). La misma permitirá al investigador realizar una estancia de seis meses en el Museo Nacional de Ciencias Naturales de Madrid (España) desarrollando un proyecto sobre enfermedades parasitarias de pingüinos antárticos en el contexto del cambio climático global. Además, el CONICET otorgó una beca posdoctoral para desarrollar una línea de estudio asociada a la biorremediación de suelos contaminados en zonas de baja temperatura.</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Financiamiento externo para desarrollo de proyectos: dos investigadores del IAA se adjudicaron subsidios correspondientes a la Convocatoria de Proyectos de Investigación Ciencia y Tecnología (PICT) 2017, a cargo de la Secretaría de Ciencia, Tecnología en Innovación Productiva de la Nación (Fondo para la Investigación Científica y Tecnológica, FONCyT); mientras que un grupo de investigación del IAA resultó ganador de un subsidio correspondiente al Programa de Cooperación que desarrollan la Secretaría de Gobierno de Ciencia, Tecnología e Innovación Productiva (ex MINCYT) y el Ministerio Federal para la Educación y la Investigación de la República Federal de Alemania (BMBF), para continuar con el desarrollo de un proyecto de cooperación de investigaciones conjuntas entre el Instituto Antártico Argentino y el Alfred Wegener Institut (Alemania).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Asesoramiento científico: investigadores del IAA confeccionaron 16 informes para foros internacionales de negociación en materia antártica, lo cual dio origen a documentos de información y de trabajo presentados por la Argentina a la RCTA, el SCAR y la CCRVMA, principalmente. Entre estos últimos, cabe destacarse el trabajo del IAA en el procesamiento de datos y en la elaboración de la propuesta de una Medida de Conservación para el establecimiento de un Área Marina Protegida en la Península Antártica. Dicha propuesta conjunta con Chile fue presentada en la última reunión de la CCRVMA (octubre, 2018), complementando la presentación preliminar que se había efectuado en 2017, tras una labor que se había extendido por más de cinco años. Dos investigadores del IAA formaron parte de la delegación argentina a la Reunión del Comité Científico y de la Comisión para la Conservación de los Recursos Vivos Marinos Antárticos (CCRVMA).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Capacitación: En el ámbito nacional, investigadores del IAA tomaron parte de numerosas actividades de formación en disciplinas antárticas dirigidas al personal logístico militar y a docentes y guías de turismo.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Participación en eventos académicos y de investigación: Personal del IAA fue invitado, con financiamiento total o parcial proveniente de fuentes externas, a participar en más de una docena de eventos académicos tanto en el exterior como en el interior del país. Ello incluyó desplazamientos a países como Japón, Australia, Alemania, Suiza, Reino Unido, Estados Unidos y Ghana. Se destaca, en particular, la estancia de tres meses de una investigadora del IAA en la sede de la Administración Nacional Oceánica y Atmosférica  de los Estados Unidos (NOAA) para asistir a un taller de  capacitación en análisis de datos espaciales, cubierto en su totalidad por fuentes externas. Asimismo, en Noviembre de 2018, un glaciólogo del IAA fue invitado a participar de la Operación </w:t>
      </w:r>
      <w:r w:rsidDel="00000000" w:rsidR="00000000" w:rsidRPr="00000000">
        <w:rPr>
          <w:rFonts w:ascii="Times New Roman" w:cs="Times New Roman" w:eastAsia="Times New Roman" w:hAnsi="Times New Roman"/>
          <w:i w:val="1"/>
          <w:rtl w:val="0"/>
        </w:rPr>
        <w:t xml:space="preserve">Icebridge</w:t>
      </w:r>
      <w:r w:rsidDel="00000000" w:rsidR="00000000" w:rsidRPr="00000000">
        <w:rPr>
          <w:rFonts w:ascii="Times New Roman" w:cs="Times New Roman" w:eastAsia="Times New Roman" w:hAnsi="Times New Roman"/>
          <w:rtl w:val="0"/>
        </w:rPr>
        <w:t xml:space="preserve">, organizada por la Administración Nacional del Espacio y Aeronáutica de los EEUU (NASA), que consistió en la realización de una serie de vuelos sobre la Península Antártica para obtener información glaciológica, partiendo desde la ciudad de Ushuaia. El reconocimiento al trabajo de los investigadores del IAA se vio reflejado también en la elección de dos investigadoras como parte de comités permanentes de foros de investigación: por un lado, una investigadora fue electa Vicepresidenta del Comité Científico de la CCRVMA, mientras que otra de ellas fue elegida miembro del Comité Científico del </w:t>
      </w:r>
      <w:r w:rsidDel="00000000" w:rsidR="00000000" w:rsidRPr="00000000">
        <w:rPr>
          <w:rFonts w:ascii="Times New Roman" w:cs="Times New Roman" w:eastAsia="Times New Roman" w:hAnsi="Times New Roman"/>
          <w:i w:val="1"/>
          <w:rtl w:val="0"/>
        </w:rPr>
        <w:t xml:space="preserve">Southern Ocean Observing System</w:t>
      </w:r>
      <w:r w:rsidDel="00000000" w:rsidR="00000000" w:rsidRPr="00000000">
        <w:rPr>
          <w:rFonts w:ascii="Times New Roman" w:cs="Times New Roman" w:eastAsia="Times New Roman" w:hAnsi="Times New Roman"/>
          <w:rtl w:val="0"/>
        </w:rPr>
        <w:t xml:space="preserve"> (SOOS) una iniciativa internacional del Comité Científico de Investigaciones Antárticas (SCAR) y el Comité Científico de Investigaciones Oceánicas (SCOR).</w:t>
      </w:r>
    </w:p>
    <w:p w:rsidR="00000000" w:rsidDel="00000000" w:rsidP="00000000" w:rsidRDefault="00000000" w:rsidRPr="00000000" w14:paraId="0000002D">
      <w:pPr>
        <w:ind w:left="7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numPr>
          <w:ilvl w:val="0"/>
          <w:numId w:val="1"/>
        </w:numPr>
        <w:spacing w:after="0" w:line="240" w:lineRule="auto"/>
        <w:ind w:left="720" w:hanging="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Divulgación: Finalmente, el IAA participó de numerosas actividades de difusión, con el fin de promover vocaciones antárticas. Entre ellas, se señala en particular la elaboración de la serie de videos cortos “Pasión Antártica”, que constó de 5 capítulos y que comenzó a ser publicada, vía Twitter, en Diciembre de 2018 (traducida también al idioma inglés). Esta serie hizo foco en el trabajo científico que realiza la Argentina en la Antártida, con especial énfasis en la labor de los jóvenes investigadores del IAA.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Conclusión</w:t>
      </w:r>
    </w:p>
    <w:p w:rsidR="00000000" w:rsidDel="00000000" w:rsidP="00000000" w:rsidRDefault="00000000" w:rsidRPr="00000000" w14:paraId="0000003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 síntesis, la producción del IAA en materia científica, de asesoramiento y de divulgación, permanece robusta y creciente, revelando un potencial de trabajo que requiere mantener activas las líneas de investigación actualmente en curso. </w:t>
      </w:r>
    </w:p>
    <w:p w:rsidR="00000000" w:rsidDel="00000000" w:rsidP="00000000" w:rsidRDefault="00000000" w:rsidRPr="00000000" w14:paraId="0000003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presente informe permite reflejar un significativo número de logros valiosos, así como una esforzada continuidad en la participación y presencia de los investigadores del IAA en los principales ámbitos de la actividad científica antártica, como así también en los foros antárticos, brindando un sólido respaldo científico a las posturas e intereses del país. </w:t>
      </w:r>
    </w:p>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Para mayor información, se recomienda visitar la página web de la Dirección Nacional del Antártico: </w:t>
      </w:r>
      <w:hyperlink r:id="rId7">
        <w:r w:rsidDel="00000000" w:rsidR="00000000" w:rsidRPr="00000000">
          <w:rPr>
            <w:rFonts w:ascii="Times New Roman" w:cs="Times New Roman" w:eastAsia="Times New Roman" w:hAnsi="Times New Roman"/>
            <w:b w:val="1"/>
            <w:color w:val="660000"/>
            <w:u w:val="single"/>
            <w:rtl w:val="0"/>
          </w:rPr>
          <w:t xml:space="preserve">www.dna.gob.ar</w:t>
        </w:r>
      </w:hyperlink>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sectPr>
      <w:headerReference r:id="rId8" w:type="default"/>
      <w:headerReference r:id="rId9" w:type="first"/>
      <w:footerReference r:id="rId10" w:type="default"/>
      <w:footerReference r:id="rId11" w:type="first"/>
      <w:pgSz w:h="16838" w:w="11906"/>
      <w:pgMar w:bottom="1406" w:top="3402" w:left="1701" w:right="1134" w:header="284"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Pr>
      <w:drawing>
        <wp:inline distB="114300" distT="114300" distL="114300" distR="114300">
          <wp:extent cx="4430078" cy="1025142"/>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720"/>
      </w:pPr>
      <w:rPr>
        <w:rFonts w:ascii="Calibri" w:cs="Calibri" w:eastAsia="Calibri" w:hAnsi="Calibri"/>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style>
  <w:style w:type="paragraph" w:styleId="Ttulo1">
    <w:name w:val="heading 1"/>
    <w:basedOn w:val="Normal1"/>
    <w:next w:val="Normal1"/>
    <w:pPr>
      <w:keepNext w:val="1"/>
      <w:keepLines w:val="1"/>
      <w:spacing w:after="120" w:before="480"/>
      <w:outlineLvl w:val="0"/>
    </w:pPr>
    <w:rPr>
      <w:b w:val="1"/>
      <w:sz w:val="48"/>
      <w:szCs w:val="48"/>
    </w:rPr>
  </w:style>
  <w:style w:type="paragraph" w:styleId="Ttulo2">
    <w:name w:val="heading 2"/>
    <w:basedOn w:val="Normal1"/>
    <w:next w:val="Normal1"/>
    <w:pPr>
      <w:keepNext w:val="1"/>
      <w:keepLines w:val="1"/>
      <w:spacing w:after="80" w:before="360"/>
      <w:outlineLvl w:val="1"/>
    </w:pPr>
    <w:rPr>
      <w:b w:val="1"/>
      <w:sz w:val="36"/>
      <w:szCs w:val="36"/>
    </w:rPr>
  </w:style>
  <w:style w:type="paragraph" w:styleId="Ttulo3">
    <w:name w:val="heading 3"/>
    <w:basedOn w:val="Normal1"/>
    <w:next w:val="Normal1"/>
    <w:pPr>
      <w:keepNext w:val="1"/>
      <w:keepLines w:val="1"/>
      <w:spacing w:after="80" w:before="280"/>
      <w:outlineLvl w:val="2"/>
    </w:pPr>
    <w:rPr>
      <w:b w:val="1"/>
      <w:sz w:val="28"/>
      <w:szCs w:val="28"/>
    </w:rPr>
  </w:style>
  <w:style w:type="paragraph" w:styleId="Ttulo4">
    <w:name w:val="heading 4"/>
    <w:basedOn w:val="Normal1"/>
    <w:next w:val="Normal1"/>
    <w:pPr>
      <w:keepNext w:val="1"/>
      <w:keepLines w:val="1"/>
      <w:spacing w:after="40" w:before="240"/>
      <w:outlineLvl w:val="3"/>
    </w:pPr>
    <w:rPr>
      <w:b w:val="1"/>
      <w:sz w:val="24"/>
      <w:szCs w:val="24"/>
    </w:rPr>
  </w:style>
  <w:style w:type="paragraph" w:styleId="Ttulo5">
    <w:name w:val="heading 5"/>
    <w:basedOn w:val="Normal1"/>
    <w:next w:val="Normal1"/>
    <w:pPr>
      <w:keepNext w:val="1"/>
      <w:keepLines w:val="1"/>
      <w:spacing w:after="40" w:before="220"/>
      <w:outlineLvl w:val="4"/>
    </w:pPr>
    <w:rPr>
      <w:b w:val="1"/>
    </w:rPr>
  </w:style>
  <w:style w:type="paragraph" w:styleId="Ttulo6">
    <w:name w:val="heading 6"/>
    <w:basedOn w:val="Normal1"/>
    <w:next w:val="Norm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style>
  <w:style w:type="paragraph" w:styleId="Ttulo">
    <w:name w:val="Title"/>
    <w:basedOn w:val="Normal1"/>
    <w:next w:val="Normal1"/>
    <w:pPr>
      <w:keepNext w:val="1"/>
      <w:keepLines w:val="1"/>
      <w:spacing w:after="120" w:before="480"/>
    </w:pPr>
    <w:rPr>
      <w:b w:val="1"/>
      <w:sz w:val="72"/>
      <w:szCs w:val="72"/>
    </w:rPr>
  </w:style>
  <w:style w:type="paragraph" w:styleId="Subttulo">
    <w:name w:val="Subtitle"/>
    <w:basedOn w:val="Normal1"/>
    <w:next w:val="Normal1"/>
    <w:pPr>
      <w:keepNext w:val="1"/>
      <w:keepLines w:val="1"/>
      <w:spacing w:after="80" w:before="360"/>
    </w:pPr>
    <w:rPr>
      <w:rFonts w:ascii="Georgia" w:cs="Georgia" w:eastAsia="Georgia" w:hAnsi="Georgia"/>
      <w:i w:val="1"/>
      <w:color w:val="666666"/>
      <w:sz w:val="48"/>
      <w:szCs w:val="48"/>
    </w:rPr>
  </w:style>
  <w:style w:type="table" w:styleId="a" w:customStyle="1">
    <w:basedOn w:val="Tablanormal"/>
    <w:tblPr>
      <w:tblStyleRowBandSize w:val="1"/>
      <w:tblStyleColBandSize w:val="1"/>
      <w:tblInd w:w="0.0" w:type="dxa"/>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BC2636"/>
    <w:pPr>
      <w:spacing w:after="0" w:line="240" w:lineRule="auto"/>
    </w:pPr>
    <w:rPr>
      <w:rFonts w:ascii="Lucida Grande" w:cs="Lucida Grande" w:hAnsi="Lucida Grande"/>
      <w:sz w:val="18"/>
      <w:szCs w:val="18"/>
    </w:rPr>
  </w:style>
  <w:style w:type="character" w:styleId="TextodegloboCar" w:customStyle="1">
    <w:name w:val="Texto de globo Car"/>
    <w:basedOn w:val="Fuentedeprrafopredeter"/>
    <w:link w:val="Textodeglobo"/>
    <w:uiPriority w:val="99"/>
    <w:semiHidden w:val="1"/>
    <w:rsid w:val="00BC2636"/>
    <w:rPr>
      <w:rFonts w:ascii="Lucida Grande" w:cs="Lucida Grande" w:hAnsi="Lucida Grande"/>
      <w:sz w:val="18"/>
      <w:szCs w:val="18"/>
    </w:rPr>
  </w:style>
  <w:style w:type="paragraph" w:styleId="NormalWeb">
    <w:name w:val="Normal (Web)"/>
    <w:basedOn w:val="Normal"/>
    <w:uiPriority w:val="99"/>
    <w:semiHidden w:val="1"/>
    <w:unhideWhenUsed w:val="1"/>
    <w:rsid w:val="00BC2636"/>
    <w:pPr>
      <w:spacing w:after="100" w:afterAutospacing="1" w:before="100" w:beforeAutospacing="1" w:line="240" w:lineRule="auto"/>
    </w:pPr>
    <w:rPr>
      <w:rFonts w:ascii="Times New Roman" w:cs="Times New Roman" w:eastAsia="Times New Roman" w:hAnsi="Times New Roman"/>
      <w:sz w:val="24"/>
      <w:szCs w:val="24"/>
      <w:lang w:eastAsia="es-AR" w:val="es-AR"/>
    </w:rPr>
  </w:style>
  <w:style w:type="character" w:styleId="Textoennegrita">
    <w:name w:val="Strong"/>
    <w:basedOn w:val="Fuentedeprrafopredeter"/>
    <w:uiPriority w:val="22"/>
    <w:qFormat w:val="1"/>
    <w:rsid w:val="00BC2636"/>
    <w:rPr>
      <w:b w:val="1"/>
      <w:bCs w:val="1"/>
    </w:rPr>
  </w:style>
  <w:style w:type="paragraph" w:styleId="ATSTitle" w:customStyle="1">
    <w:name w:val="ATS Title"/>
    <w:basedOn w:val="Normal"/>
    <w:qFormat w:val="1"/>
    <w:rsid w:val="00C12DF4"/>
    <w:pPr>
      <w:spacing w:after="360" w:before="360" w:line="240" w:lineRule="auto"/>
      <w:contextualSpacing w:val="1"/>
      <w:jc w:val="center"/>
    </w:pPr>
    <w:rPr>
      <w:rFonts w:ascii="Arial" w:cs="Times New Roman" w:eastAsia="Times New Roman" w:hAnsi="Arial"/>
      <w:b w:val="1"/>
      <w:sz w:val="48"/>
      <w:szCs w:val="24"/>
      <w:lang w:val="es-AR"/>
    </w:rPr>
  </w:style>
  <w:style w:type="paragraph" w:styleId="ATSNormal" w:customStyle="1">
    <w:name w:val="ATS Normal"/>
    <w:basedOn w:val="Normal"/>
    <w:qFormat w:val="1"/>
    <w:rsid w:val="00C12DF4"/>
    <w:pPr>
      <w:spacing w:after="120" w:before="120" w:line="240" w:lineRule="auto"/>
    </w:pPr>
    <w:rPr>
      <w:rFonts w:ascii="Times New Roman" w:cs="Times New Roman" w:eastAsia="Times New Roman" w:hAnsi="Times New Roman"/>
      <w:szCs w:val="24"/>
      <w:lang w:eastAsia="en-GB" w:val="es-AR"/>
    </w:rPr>
  </w:style>
  <w:style w:type="paragraph" w:styleId="ATSHeading1" w:customStyle="1">
    <w:name w:val="ATS Heading 1"/>
    <w:basedOn w:val="ATSNormal"/>
    <w:next w:val="ATSNormal"/>
    <w:qFormat w:val="1"/>
    <w:rsid w:val="00C12DF4"/>
    <w:pPr>
      <w:spacing w:after="360" w:before="360"/>
      <w:jc w:val="center"/>
    </w:pPr>
    <w:rPr>
      <w:rFonts w:ascii="Arial" w:hAnsi="Arial"/>
      <w:b w:val="1"/>
      <w:sz w:val="32"/>
    </w:rPr>
  </w:style>
  <w:style w:type="character" w:styleId="Refdenotaalpie">
    <w:name w:val="footnote reference"/>
    <w:rsid w:val="00C12DF4"/>
    <w:rPr>
      <w:vertAlign w:val="superscript"/>
    </w:rPr>
  </w:style>
  <w:style w:type="paragraph" w:styleId="Textonotapie">
    <w:name w:val="footnote text"/>
    <w:basedOn w:val="Normal"/>
    <w:link w:val="TextonotapieCar"/>
    <w:rsid w:val="00C12DF4"/>
    <w:pPr>
      <w:spacing w:after="0" w:line="240" w:lineRule="auto"/>
    </w:pPr>
    <w:rPr>
      <w:rFonts w:ascii="Times New Roman" w:cs="Times New Roman" w:eastAsia="Times New Roman" w:hAnsi="Times New Roman"/>
      <w:lang w:val="es-AR"/>
    </w:rPr>
  </w:style>
  <w:style w:type="character" w:styleId="TextonotapieCar" w:customStyle="1">
    <w:name w:val="Texto nota pie Car"/>
    <w:basedOn w:val="Fuentedeprrafopredeter"/>
    <w:link w:val="Textonotapie"/>
    <w:rsid w:val="00C12DF4"/>
    <w:rPr>
      <w:rFonts w:ascii="Times New Roman" w:cs="Times New Roman" w:eastAsia="Times New Roman" w:hAnsi="Times New Roman"/>
      <w:lang w:val="es-AR"/>
    </w:rPr>
  </w:style>
  <w:style w:type="paragraph" w:styleId="Prrafodelista">
    <w:name w:val="List Paragraph"/>
    <w:basedOn w:val="Normal"/>
    <w:uiPriority w:val="34"/>
    <w:qFormat w:val="1"/>
    <w:rsid w:val="00C12DF4"/>
    <w:pPr>
      <w:spacing w:after="0" w:line="240" w:lineRule="auto"/>
      <w:ind w:left="720"/>
    </w:pPr>
    <w:rPr>
      <w:rFonts w:ascii="Times New Roman" w:cs="Times New Roman" w:eastAsia="Times New Roman" w:hAnsi="Times New Roman"/>
      <w:szCs w:val="24"/>
      <w:lang w:val="es-AR"/>
    </w:rPr>
  </w:style>
  <w:style w:type="character" w:styleId="shorttext" w:customStyle="1">
    <w:name w:val="short_text"/>
    <w:rsid w:val="00C12DF4"/>
  </w:style>
  <w:style w:type="character" w:styleId="alt-edited" w:customStyle="1">
    <w:name w:val="alt-edited"/>
    <w:rsid w:val="00C12DF4"/>
  </w:style>
  <w:style w:type="paragraph" w:styleId="Default" w:customStyle="1">
    <w:name w:val="Default"/>
    <w:rsid w:val="00C12DF4"/>
    <w:pPr>
      <w:autoSpaceDE w:val="0"/>
      <w:autoSpaceDN w:val="0"/>
      <w:adjustRightInd w:val="0"/>
      <w:spacing w:after="0" w:line="240" w:lineRule="auto"/>
    </w:pPr>
    <w:rPr>
      <w:rFonts w:ascii="Times New Roman" w:cs="Times New Roman" w:eastAsia="Times New Roman" w:hAnsi="Times New Roman"/>
      <w:color w:val="000000"/>
      <w:sz w:val="24"/>
      <w:szCs w:val="24"/>
      <w:lang w:eastAsia="es-ES" w:val="es-AR"/>
    </w:rPr>
  </w:style>
  <w:style w:type="character" w:styleId="tlid-translation" w:customStyle="1">
    <w:name w:val="tlid-translation"/>
    <w:rsid w:val="00C12DF4"/>
  </w:style>
  <w:style w:type="character" w:styleId="Hipervnculo">
    <w:name w:val="Hyperlink"/>
    <w:semiHidden w:val="1"/>
    <w:rsid w:val="00DD099F"/>
    <w:rPr>
      <w:color w:val="660000"/>
      <w:u w:val="singl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dna.gob.ar"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Ulx2hkKnvpNAPi+wsYL4QkUz/g==">AMUW2mUSrNDu5xiJ3HlbQksDwH/NXSygt8Myk7YBR1w9Hn2uRNpiZtFjNiKzwFhS7jNqRi/syhcx4K7VBpHTz6J+SzRJsXlpCqRmTRBtvwGCChbrPXudsMY18axaykrMD0EBmVi3AUgsL2BqnOUm69cCSCPJ46NaLV/uNNkLY54yu6dnVJQ/kOw=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2019-09-04T14:28:00Z</dcterms:created>
  <dc:creator>Villanueva, Jimena Florencia</dc:creator>
</cp:coreProperties>
</file>