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 48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5670"/>
          <w:tab w:val="left" w:pos="8445"/>
        </w:tabs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4236.0" w:type="dxa"/>
        <w:jc w:val="left"/>
        <w:tblInd w:w="4981.0" w:type="dxa"/>
        <w:tblLayout w:type="fixed"/>
        <w:tblLook w:val="0000"/>
      </w:tblPr>
      <w:tblGrid>
        <w:gridCol w:w="2880"/>
        <w:gridCol w:w="1356"/>
        <w:tblGridChange w:id="0">
          <w:tblGrid>
            <w:gridCol w:w="2880"/>
            <w:gridCol w:w="1356"/>
          </w:tblGrid>
        </w:tblGridChange>
      </w:tblGrid>
      <w:t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</w:tcBorders>
          </w:tcPr>
          <w:p w:rsidR="00000000" w:rsidDel="00000000" w:rsidP="00000000" w:rsidRDefault="00000000" w:rsidRPr="00000000" w14:paraId="00000005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Documento:</w:t>
            </w:r>
          </w:p>
          <w:p w:rsidR="00000000" w:rsidDel="00000000" w:rsidP="00000000" w:rsidRDefault="00000000" w:rsidRPr="00000000" w14:paraId="00000006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País:</w:t>
            </w:r>
          </w:p>
          <w:p w:rsidR="00000000" w:rsidDel="00000000" w:rsidP="00000000" w:rsidRDefault="00000000" w:rsidRPr="00000000" w14:paraId="00000007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Sección: </w:t>
            </w:r>
          </w:p>
          <w:p w:rsidR="00000000" w:rsidDel="00000000" w:rsidP="00000000" w:rsidRDefault="00000000" w:rsidRPr="00000000" w14:paraId="00000008">
            <w:pPr>
              <w:tabs>
                <w:tab w:val="left" w:pos="5670"/>
                <w:tab w:val="left" w:pos="8445"/>
              </w:tabs>
              <w:spacing w:after="0" w:line="3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Punto de la Agenda: 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(DI)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(Perú)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(CACAT )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          )</w:t>
            </w:r>
          </w:p>
        </w:tc>
      </w:tr>
    </w:tbl>
    <w:p w:rsidR="00000000" w:rsidDel="00000000" w:rsidP="00000000" w:rsidRDefault="00000000" w:rsidRPr="00000000" w14:paraId="0000000D">
      <w:pPr>
        <w:tabs>
          <w:tab w:val="left" w:pos="5670"/>
          <w:tab w:val="left" w:pos="8445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36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Vigésimo Setima Expedición Científica del Perú a la Antártida - ANTAR XXVII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Vigésimo Setima Expedición Científica del Perú a la Antártida - ANTAR XXVII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Verano Austral 2019-2020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presente documento contiene información preliminar sobre la programación de las actividades científicas y ambientales antárticas que desarrollará el Perú en su Vigésimo Setima Expedición a la Antártida (verano austral 2019/20), la que contará con la participación del BAP Carrasco y tendrá una duración aproximada de 110 días, iniciando en noviembre 2019 y culminando en marzo del 2020.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Durante la mencionada expedición se tiene previsto desarrollar los proyectos listados en el Cuadro 1, cuyos planes de trabajo se vienen elaborando de manera conjunta entre los Investigadores Principales y la Dirección de Asuntos Antárticos: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Cuadro 01: Listado de Proyectos a ser ejecutados durante la ANTAR XXVII</w:t>
      </w:r>
    </w:p>
    <w:tbl>
      <w:tblPr>
        <w:tblStyle w:val="Table2"/>
        <w:tblW w:w="8931.0" w:type="dxa"/>
        <w:jc w:val="left"/>
        <w:tblInd w:w="351.0" w:type="dxa"/>
        <w:tblLayout w:type="fixed"/>
        <w:tblLook w:val="0400"/>
      </w:tblPr>
      <w:tblGrid>
        <w:gridCol w:w="1844"/>
        <w:gridCol w:w="7087"/>
        <w:tblGridChange w:id="0">
          <w:tblGrid>
            <w:gridCol w:w="1844"/>
            <w:gridCol w:w="7087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d7ee" w:val="clear"/>
            <w:vAlign w:val="bottom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Plataforma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dd7ee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Proyecto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BAP Carrasco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Estudio de la circulación marina para determinar la trayectoria de posibles elementos contaminantes en la Bahía Almirantazgo mediante aproximación lagrangiana</w:t>
            </w:r>
          </w:p>
        </w:tc>
      </w:tr>
      <w:tr>
        <w:trPr>
          <w:trHeight w:val="6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Estudio de la circulación oceánica alrededor de las islas Shetland del Sur e Isla Elefante y su conexión frente a la costa peruana y el fenómeno El Niño y La Niña </w:t>
            </w:r>
          </w:p>
        </w:tc>
      </w:tr>
      <w:tr>
        <w:trPr>
          <w:trHeight w:val="6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Caracterización radiológica de los sedimentos extraídos del Estrecho de Bransfield y de muestras ambientales en la ECAMP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Análisis metagenómico de la microbiota del krill antártico y su relación con el cambio climático </w:t>
            </w:r>
          </w:p>
        </w:tc>
      </w:tr>
      <w:tr>
        <w:trPr>
          <w:trHeight w:val="6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Estudio de la hidrodinámica de las corrientes marinas alrededor de las islas Shetland del Sur</w:t>
            </w:r>
          </w:p>
        </w:tc>
      </w:tr>
      <w:tr>
        <w:trPr>
          <w:trHeight w:val="56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Estudio Integrado del Ecosistema en el Estrecho de Bransfield, Join Ville y alrededores de la Isla Elefante </w:t>
            </w:r>
          </w:p>
        </w:tc>
      </w:tr>
      <w:tr>
        <w:trPr>
          <w:trHeight w:val="62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Comunidades Bentónicas y Geoquímica del Sedimento: Diversidad, Ecología y Aplicaciones Isla Rey Jorge (Bahía Almirantazgo) y Estrecho de Bransfield 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Caracterización de macro y microplásticos en agua y sedimentos de la zona costera y oceánica de los alrededores de la Bahía Almirantazgo e identificación de macroplásticos en el fondo marino de la Península Antártica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Evolución del volcanismo submarino en el estrecho de Bransfield: relación de las emanaciones hidrotermales con la biodiversidad y el cambio climático</w:t>
            </w:r>
          </w:p>
        </w:tc>
      </w:tr>
      <w:tr>
        <w:trPr>
          <w:trHeight w:val="640" w:hRule="atLeast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Estación Machu Picchu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Aporte social, económico y ambiental en la conservación y pérdida de la BIOdiversidad marina por el retroceso GLACIAR en la Península ANTártica</w:t>
            </w:r>
          </w:p>
        </w:tc>
      </w:tr>
      <w:tr>
        <w:trPr>
          <w:trHeight w:val="64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Estudio de vibración ambiental y su correlación con la litoestratigrafía y permafrost en alrededores de la Estación Machu Picchu</w:t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Comparación de la dinámica de la evolución glaciar en la Antártida y Glaciares Tropicales del Perú</w:t>
            </w:r>
          </w:p>
        </w:tc>
      </w:tr>
      <w:tr>
        <w:trPr>
          <w:trHeight w:val="6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Impacto de la inversión térmica en los fenómenos meteorológicos en Bahía Almirantazgo durante el verano austral 2020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Evaluación de la presencia de microplásticos en componentes abióticos y bióticos en la Bahía Almirantazgo</w:t>
            </w:r>
          </w:p>
        </w:tc>
      </w:tr>
      <w:tr>
        <w:trPr>
          <w:trHeight w:val="5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Efecto de la suplementación con vitamina C y la evaluación del contenido nutricional de las macroalgas de la Bahía Almirantazgo, isla Rey Jorge</w:t>
            </w:r>
          </w:p>
        </w:tc>
      </w:tr>
      <w:tr>
        <w:trPr>
          <w:trHeight w:val="6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Generación de volumetría glaciar empleando vehículo aéreo no tripulado (dron)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Aislamiento y características moleculares de microalgas y cianobacterias extermófilas de la Antártida, con potencial aplicación en la remoción de fosfatos, nitrógeno amoniacal y materia orgánica de aguas residuales domesticas </w:t>
            </w:r>
          </w:p>
        </w:tc>
      </w:tr>
      <w:tr>
        <w:trPr>
          <w:trHeight w:val="58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Estudio de la circulación marina para determinar  trayectoria de posibles elementos contaminantes en La Bahía de Almirantazgo, mediante aproximación lagrangiana</w:t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Investigaciones de permafrost en los alrededores de la Estación Machu Picchu</w:t>
            </w:r>
          </w:p>
        </w:tc>
      </w:tr>
      <w:tr>
        <w:trPr>
          <w:trHeight w:val="56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Geomorfología y evolución glaciar en la Peninsula Keller y Punta Hennequin: : su impacto frente al cambio climático y sus vinculaciones con la criósfera andina</w:t>
            </w:r>
          </w:p>
        </w:tc>
      </w:tr>
      <w:tr>
        <w:trPr>
          <w:trHeight w:val="56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Evolución geológica de Bahía Almirantazgo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Desarrollo de Estación de Clima Espacial en la Antártida</w:t>
            </w:r>
          </w:p>
        </w:tc>
      </w:tr>
    </w:tbl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/>
      <w:pgMar w:bottom="1404" w:top="3652" w:left="1701" w:right="1134" w:header="283" w:footer="73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rPr>
        <w:rFonts w:ascii="Arial Narrow" w:cs="Arial Narrow" w:eastAsia="Arial Narrow" w:hAnsi="Arial Narrow"/>
        <w:color w:val="000000"/>
        <w:sz w:val="24"/>
        <w:szCs w:val="24"/>
      </w:rPr>
    </w:pPr>
    <w:r w:rsidDel="00000000" w:rsidR="00000000" w:rsidRPr="00000000">
      <w:rPr>
        <w:rFonts w:ascii="Arial Narrow" w:cs="Arial Narrow" w:eastAsia="Arial Narrow" w:hAnsi="Arial Narrow"/>
        <w:sz w:val="24"/>
        <w:szCs w:val="24"/>
      </w:rPr>
      <w:drawing>
        <wp:inline distB="114300" distT="114300" distL="114300" distR="114300">
          <wp:extent cx="4430078" cy="1025142"/>
          <wp:effectExtent b="0" l="0" r="0" t="0"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30078" cy="102514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paragraph" w:styleId="ATSTitle" w:customStyle="1">
    <w:name w:val="ATS Title"/>
    <w:basedOn w:val="Normal"/>
    <w:rsid w:val="00B216D2"/>
    <w:pPr>
      <w:spacing w:after="360" w:before="360" w:line="240" w:lineRule="auto"/>
      <w:contextualSpacing w:val="1"/>
      <w:jc w:val="center"/>
    </w:pPr>
    <w:rPr>
      <w:rFonts w:ascii="Arial" w:cs="Times New Roman" w:eastAsia="Times New Roman" w:hAnsi="Arial"/>
      <w:b w:val="1"/>
      <w:sz w:val="48"/>
      <w:szCs w:val="24"/>
      <w:lang w:eastAsia="en-US" w:val="en-US"/>
    </w:rPr>
  </w:style>
  <w:style w:type="paragraph" w:styleId="Encabezado">
    <w:name w:val="header"/>
    <w:basedOn w:val="Normal"/>
    <w:link w:val="EncabezadoCar"/>
    <w:uiPriority w:val="99"/>
    <w:unhideWhenUsed w:val="1"/>
    <w:rsid w:val="00B216D2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216D2"/>
  </w:style>
  <w:style w:type="paragraph" w:styleId="Piedepgina">
    <w:name w:val="footer"/>
    <w:basedOn w:val="Normal"/>
    <w:link w:val="PiedepginaCar"/>
    <w:uiPriority w:val="99"/>
    <w:unhideWhenUsed w:val="1"/>
    <w:rsid w:val="00B216D2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216D2"/>
  </w:style>
  <w:style w:type="paragraph" w:styleId="Prrafodelista">
    <w:name w:val="List Paragraph"/>
    <w:basedOn w:val="Normal"/>
    <w:uiPriority w:val="34"/>
    <w:qFormat w:val="1"/>
    <w:rsid w:val="00BE29A6"/>
    <w:pPr>
      <w:spacing w:after="0" w:line="240" w:lineRule="auto"/>
      <w:ind w:left="720"/>
    </w:pPr>
    <w:rPr>
      <w:rFonts w:ascii="Times New Roman" w:cs="Times New Roman" w:eastAsia="Times New Roman" w:hAnsi="Times New Roman"/>
      <w:szCs w:val="24"/>
      <w:lang w:eastAsia="es-AR" w:val="es-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N/MBIHVXFoKUerYrYQiytN9ExQ==">AMUW2mUqFneS/RbT3RqVbGRJ94TwXnl5QURIMfw+Vml5S9e0qCtuGfd2M+BbI4IYygW6YGqIWj8Ujz/YCw1cTXBqT0z6ZPxW5MnzfetvJFVfWJjnh39wf/5mgb3Hgk2trwShQN1vrDrotMiuY3oTf/flrKlBsI1ARw==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2019-09-06T19:49:00Z</dcterms:created>
  <dc:creator>Cinthya Elizabeth Bello Chirinos</dc:creator>
</cp:coreProperties>
</file>